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text" w:horzAnchor="margin" w:tblpY="-159"/>
        <w:bidiVisual/>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5"/>
        <w:gridCol w:w="2646"/>
        <w:gridCol w:w="1798"/>
        <w:gridCol w:w="3741"/>
      </w:tblGrid>
      <w:tr w:rsidR="008F3A58" w:rsidRPr="00420E12" w:rsidTr="008F3A58">
        <w:trPr>
          <w:trHeight w:val="295"/>
        </w:trPr>
        <w:tc>
          <w:tcPr>
            <w:tcW w:w="5079" w:type="dxa"/>
            <w:gridSpan w:val="3"/>
          </w:tcPr>
          <w:p w:rsidR="008F3A58" w:rsidRPr="00420E12" w:rsidRDefault="008F3A58" w:rsidP="008F3A58">
            <w:pPr>
              <w:jc w:val="both"/>
              <w:rPr>
                <w:rFonts w:ascii="Arial" w:hAnsi="Arial"/>
                <w:b/>
                <w:bCs/>
                <w:sz w:val="26"/>
                <w:szCs w:val="26"/>
                <w:rtl/>
              </w:rPr>
            </w:pPr>
            <w:bookmarkStart w:id="0" w:name="_GoBack"/>
            <w:bookmarkEnd w:id="0"/>
          </w:p>
          <w:p w:rsidR="008F3A58" w:rsidRPr="00420E12" w:rsidRDefault="008F3A58" w:rsidP="008F3A58">
            <w:pPr>
              <w:ind w:firstLine="720"/>
              <w:rPr>
                <w:rFonts w:ascii="Arial" w:hAnsi="Arial"/>
                <w:sz w:val="26"/>
                <w:szCs w:val="26"/>
                <w:rtl/>
              </w:rPr>
            </w:pPr>
          </w:p>
        </w:tc>
        <w:tc>
          <w:tcPr>
            <w:tcW w:w="3741" w:type="dxa"/>
          </w:tcPr>
          <w:p w:rsidR="00683F57" w:rsidRDefault="00683F57">
            <w:pPr>
              <w:rPr>
                <w:rFonts w:ascii="Arial" w:hAnsi="Arial"/>
                <w:b/>
                <w:bCs/>
                <w:sz w:val="26"/>
                <w:szCs w:val="26"/>
              </w:rPr>
            </w:pPr>
          </w:p>
          <w:p w:rsidR="008F3A58" w:rsidRPr="00420E12" w:rsidRDefault="008F3A58" w:rsidP="008F3A58">
            <w:pPr>
              <w:jc w:val="both"/>
              <w:rPr>
                <w:rFonts w:ascii="Arial" w:hAnsi="Arial"/>
                <w:b/>
                <w:bCs/>
                <w:sz w:val="26"/>
                <w:szCs w:val="26"/>
                <w:rtl/>
              </w:rPr>
            </w:pPr>
          </w:p>
        </w:tc>
      </w:tr>
      <w:tr w:rsidR="008F3A58" w:rsidRPr="00420E12" w:rsidTr="008F3A58">
        <w:trPr>
          <w:trHeight w:val="295"/>
        </w:trPr>
        <w:tc>
          <w:tcPr>
            <w:tcW w:w="635" w:type="dxa"/>
          </w:tcPr>
          <w:p w:rsidR="008F3A58" w:rsidRPr="00420E12" w:rsidRDefault="008F3A58" w:rsidP="008F3A58">
            <w:pPr>
              <w:jc w:val="both"/>
              <w:rPr>
                <w:rFonts w:ascii="Arial" w:hAnsi="Arial"/>
                <w:b/>
                <w:bCs/>
                <w:sz w:val="26"/>
                <w:szCs w:val="26"/>
              </w:rPr>
            </w:pPr>
            <w:r w:rsidRPr="00420E12">
              <w:rPr>
                <w:rFonts w:ascii="Arial" w:hAnsi="Arial" w:hint="cs"/>
                <w:b/>
                <w:bCs/>
                <w:sz w:val="26"/>
                <w:szCs w:val="26"/>
                <w:rtl/>
              </w:rPr>
              <w:t>ל</w:t>
            </w:r>
            <w:r w:rsidRPr="00420E12">
              <w:rPr>
                <w:rFonts w:ascii="Arial" w:hAnsi="Arial"/>
                <w:b/>
                <w:bCs/>
                <w:sz w:val="26"/>
                <w:szCs w:val="26"/>
                <w:rtl/>
              </w:rPr>
              <w:t xml:space="preserve">פני </w:t>
            </w:r>
          </w:p>
        </w:tc>
        <w:tc>
          <w:tcPr>
            <w:tcW w:w="8185" w:type="dxa"/>
            <w:gridSpan w:val="3"/>
          </w:tcPr>
          <w:p w:rsidR="008F3A58" w:rsidRPr="00420E12" w:rsidRDefault="008F3A58" w:rsidP="008F3A58">
            <w:pPr>
              <w:rPr>
                <w:rFonts w:ascii="Arial" w:hAnsi="Arial"/>
                <w:b/>
                <w:bCs/>
                <w:sz w:val="26"/>
                <w:szCs w:val="26"/>
                <w:rtl/>
              </w:rPr>
            </w:pPr>
            <w:r w:rsidRPr="00420E12">
              <w:rPr>
                <w:rFonts w:ascii="Arial" w:hAnsi="Arial" w:hint="cs"/>
                <w:b/>
                <w:bCs/>
                <w:sz w:val="26"/>
                <w:szCs w:val="26"/>
                <w:rtl/>
              </w:rPr>
              <w:t xml:space="preserve">כב' </w:t>
            </w:r>
            <w:r w:rsidRPr="00420E12">
              <w:rPr>
                <w:rFonts w:ascii="Arial" w:hAnsi="Arial"/>
                <w:b/>
                <w:bCs/>
                <w:sz w:val="26"/>
                <w:szCs w:val="26"/>
                <w:rtl/>
              </w:rPr>
              <w:t>ה</w:t>
            </w:r>
            <w:sdt>
              <w:sdtPr>
                <w:rPr>
                  <w:sz w:val="26"/>
                  <w:szCs w:val="26"/>
                  <w:rtl/>
                </w:rPr>
                <w:alias w:val="1574"/>
                <w:tag w:val="1574"/>
                <w:id w:val="1264808568"/>
                <w:text w:multiLine="1"/>
              </w:sdtPr>
              <w:sdtEndPr/>
              <w:sdtContent>
                <w:r>
                  <w:rPr>
                    <w:rFonts w:ascii="Arial" w:hAnsi="Arial"/>
                    <w:b/>
                    <w:bCs/>
                    <w:sz w:val="26"/>
                    <w:szCs w:val="26"/>
                    <w:rtl/>
                  </w:rPr>
                  <w:t>שופטת</w:t>
                </w:r>
              </w:sdtContent>
            </w:sdt>
            <w:r w:rsidRPr="00420E12">
              <w:rPr>
                <w:rFonts w:ascii="Arial" w:hAnsi="Arial"/>
                <w:b/>
                <w:bCs/>
                <w:sz w:val="26"/>
                <w:szCs w:val="26"/>
                <w:rtl/>
              </w:rPr>
              <w:t xml:space="preserve">  </w:t>
            </w:r>
            <w:sdt>
              <w:sdtPr>
                <w:rPr>
                  <w:sz w:val="26"/>
                  <w:szCs w:val="26"/>
                  <w:rtl/>
                </w:rPr>
                <w:alias w:val="1573"/>
                <w:tag w:val="1573"/>
                <w:id w:val="-1044745739"/>
                <w:text w:multiLine="1"/>
              </w:sdtPr>
              <w:sdtEndPr/>
              <w:sdtContent>
                <w:r>
                  <w:rPr>
                    <w:rFonts w:ascii="Arial" w:hAnsi="Arial"/>
                    <w:b/>
                    <w:bCs/>
                    <w:sz w:val="26"/>
                    <w:szCs w:val="26"/>
                    <w:rtl/>
                  </w:rPr>
                  <w:t>ירדנה סרוסי</w:t>
                </w:r>
              </w:sdtContent>
            </w:sdt>
          </w:p>
          <w:p w:rsidR="008F3A58" w:rsidRPr="00420E12" w:rsidRDefault="008F3A58" w:rsidP="008F3A58">
            <w:pPr>
              <w:rPr>
                <w:rFonts w:ascii="Arial" w:hAnsi="Arial" w:cs="FrankRuehl"/>
                <w:sz w:val="26"/>
                <w:szCs w:val="26"/>
                <w:highlight w:val="yellow"/>
              </w:rPr>
            </w:pPr>
          </w:p>
        </w:tc>
      </w:tr>
      <w:tr w:rsidR="008F3A58" w:rsidRPr="00420E12" w:rsidTr="008F3A58">
        <w:tc>
          <w:tcPr>
            <w:tcW w:w="3281" w:type="dxa"/>
            <w:gridSpan w:val="2"/>
          </w:tcPr>
          <w:sdt>
            <w:sdtPr>
              <w:rPr>
                <w:sz w:val="26"/>
                <w:szCs w:val="26"/>
                <w:rtl/>
              </w:rPr>
              <w:alias w:val="1180"/>
              <w:tag w:val="1180"/>
              <w:id w:val="1169446867"/>
              <w:text w:multiLine="1"/>
            </w:sdtPr>
            <w:sdtEndPr/>
            <w:sdtContent>
              <w:p w:rsidR="00683F57" w:rsidRDefault="000C5CCC" w:rsidP="00136F83">
                <w:pPr>
                  <w:rPr>
                    <w:rFonts w:ascii="Arial" w:hAnsi="Arial"/>
                    <w:b/>
                    <w:bCs/>
                    <w:sz w:val="26"/>
                    <w:szCs w:val="26"/>
                  </w:rPr>
                </w:pPr>
                <w:r>
                  <w:rPr>
                    <w:rFonts w:ascii="Arial" w:hAnsi="Arial"/>
                    <w:b/>
                    <w:bCs/>
                    <w:sz w:val="26"/>
                    <w:szCs w:val="26"/>
                    <w:rtl/>
                  </w:rPr>
                  <w:t>מערער</w:t>
                </w:r>
              </w:p>
            </w:sdtContent>
          </w:sdt>
        </w:tc>
        <w:tc>
          <w:tcPr>
            <w:tcW w:w="5539" w:type="dxa"/>
            <w:gridSpan w:val="2"/>
          </w:tcPr>
          <w:p w:rsidR="008F3A58" w:rsidRPr="00420E12" w:rsidRDefault="008F3A58" w:rsidP="008F3A58">
            <w:pPr>
              <w:rPr>
                <w:rFonts w:ascii="Arial" w:hAnsi="Arial"/>
                <w:b/>
                <w:bCs/>
                <w:sz w:val="26"/>
                <w:szCs w:val="26"/>
                <w:rtl/>
              </w:rPr>
            </w:pPr>
          </w:p>
          <w:p w:rsidR="00136F83" w:rsidRDefault="007762D5" w:rsidP="00136F83">
            <w:pPr>
              <w:rPr>
                <w:rFonts w:ascii="Arial" w:hAnsi="Arial"/>
                <w:b/>
                <w:bCs/>
                <w:sz w:val="26"/>
                <w:szCs w:val="26"/>
                <w:rtl/>
              </w:rPr>
            </w:pPr>
            <w:sdt>
              <w:sdtPr>
                <w:rPr>
                  <w:b/>
                  <w:bCs/>
                  <w:sz w:val="26"/>
                  <w:szCs w:val="26"/>
                  <w:rtl/>
                </w:rPr>
                <w:alias w:val="1478"/>
                <w:tag w:val="1478"/>
                <w:id w:val="2124652378"/>
                <w:text w:multiLine="1"/>
              </w:sdtPr>
              <w:sdtEndPr/>
              <w:sdtContent>
                <w:r w:rsidR="00E67EFF" w:rsidRPr="00136F83">
                  <w:rPr>
                    <w:b/>
                    <w:bCs/>
                    <w:sz w:val="26"/>
                    <w:szCs w:val="26"/>
                    <w:rtl/>
                  </w:rPr>
                  <w:t>ג'אלב אבו עג'ווה</w:t>
                </w:r>
              </w:sdtContent>
            </w:sdt>
            <w:r w:rsidR="008F3A58" w:rsidRPr="00136F83">
              <w:rPr>
                <w:rFonts w:ascii="Arial" w:hAnsi="Arial"/>
                <w:b/>
                <w:bCs/>
                <w:sz w:val="26"/>
                <w:szCs w:val="26"/>
                <w:rtl/>
              </w:rPr>
              <w:t xml:space="preserve">  </w:t>
            </w:r>
          </w:p>
          <w:p w:rsidR="008F3A58" w:rsidRPr="00136F83" w:rsidRDefault="00136F83" w:rsidP="00136F83">
            <w:pPr>
              <w:rPr>
                <w:rFonts w:ascii="Arial" w:hAnsi="Arial"/>
                <w:b/>
                <w:bCs/>
                <w:sz w:val="26"/>
                <w:szCs w:val="26"/>
                <w:rtl/>
              </w:rPr>
            </w:pPr>
            <w:r>
              <w:rPr>
                <w:rFonts w:ascii="Arial" w:hAnsi="Arial" w:hint="cs"/>
                <w:b/>
                <w:bCs/>
                <w:sz w:val="26"/>
                <w:szCs w:val="26"/>
                <w:rtl/>
              </w:rPr>
              <w:t>ע"י ב"כ עו"ד דריה גולדין</w:t>
            </w:r>
            <w:r w:rsidR="008F3A58" w:rsidRPr="00136F83">
              <w:rPr>
                <w:rFonts w:ascii="Arial" w:hAnsi="Arial"/>
                <w:b/>
                <w:bCs/>
                <w:sz w:val="26"/>
                <w:szCs w:val="26"/>
                <w:rtl/>
              </w:rPr>
              <w:t xml:space="preserve">  </w:t>
            </w:r>
          </w:p>
          <w:p w:rsidR="008F3A58" w:rsidRPr="00420E12" w:rsidRDefault="008F3A58" w:rsidP="008F3A58">
            <w:pPr>
              <w:rPr>
                <w:rFonts w:ascii="Arial" w:hAnsi="Arial"/>
                <w:b/>
                <w:bCs/>
                <w:sz w:val="26"/>
                <w:szCs w:val="26"/>
              </w:rPr>
            </w:pPr>
          </w:p>
        </w:tc>
      </w:tr>
      <w:tr w:rsidR="008F3A58" w:rsidRPr="00420E12" w:rsidTr="008F3A58">
        <w:tc>
          <w:tcPr>
            <w:tcW w:w="8820" w:type="dxa"/>
            <w:gridSpan w:val="4"/>
          </w:tcPr>
          <w:p w:rsidR="008F3A58" w:rsidRPr="00420E12" w:rsidRDefault="008F3A58" w:rsidP="008F3A58">
            <w:pPr>
              <w:rPr>
                <w:rFonts w:ascii="Arial" w:hAnsi="Arial"/>
                <w:b/>
                <w:bCs/>
                <w:sz w:val="26"/>
                <w:szCs w:val="26"/>
                <w:rtl/>
              </w:rPr>
            </w:pPr>
          </w:p>
          <w:p w:rsidR="008F3A58" w:rsidRPr="00420E12" w:rsidRDefault="008F3A58" w:rsidP="008F3A58">
            <w:pPr>
              <w:jc w:val="center"/>
              <w:rPr>
                <w:rFonts w:ascii="Arial" w:hAnsi="Arial"/>
                <w:b/>
                <w:bCs/>
                <w:sz w:val="26"/>
                <w:szCs w:val="26"/>
                <w:rtl/>
              </w:rPr>
            </w:pPr>
            <w:r w:rsidRPr="00420E12">
              <w:rPr>
                <w:rFonts w:ascii="Arial" w:hAnsi="Arial"/>
                <w:b/>
                <w:bCs/>
                <w:sz w:val="26"/>
                <w:szCs w:val="26"/>
                <w:rtl/>
              </w:rPr>
              <w:t>נגד</w:t>
            </w:r>
          </w:p>
          <w:p w:rsidR="008F3A58" w:rsidRPr="00420E12" w:rsidRDefault="008F3A58" w:rsidP="008F3A58">
            <w:pPr>
              <w:rPr>
                <w:rFonts w:ascii="Arial" w:hAnsi="Arial"/>
                <w:b/>
                <w:bCs/>
                <w:sz w:val="26"/>
                <w:szCs w:val="26"/>
              </w:rPr>
            </w:pPr>
          </w:p>
        </w:tc>
      </w:tr>
      <w:tr w:rsidR="008F3A58" w:rsidRPr="00420E12" w:rsidTr="008F3A58">
        <w:sdt>
          <w:sdtPr>
            <w:rPr>
              <w:sz w:val="26"/>
              <w:szCs w:val="26"/>
              <w:rtl/>
            </w:rPr>
            <w:alias w:val="1184"/>
            <w:tag w:val="1184"/>
            <w:id w:val="469171988"/>
            <w:text/>
          </w:sdtPr>
          <w:sdtEndPr/>
          <w:sdtContent>
            <w:tc>
              <w:tcPr>
                <w:tcW w:w="3281" w:type="dxa"/>
                <w:gridSpan w:val="2"/>
              </w:tcPr>
              <w:p w:rsidR="008F3A58" w:rsidRPr="00420E12" w:rsidRDefault="008F3A58" w:rsidP="00136F83">
                <w:pPr>
                  <w:rPr>
                    <w:rFonts w:ascii="Arial" w:hAnsi="Arial"/>
                    <w:b/>
                    <w:bCs/>
                    <w:sz w:val="26"/>
                    <w:szCs w:val="26"/>
                  </w:rPr>
                </w:pPr>
                <w:r w:rsidRPr="00420E12">
                  <w:rPr>
                    <w:rFonts w:ascii="Arial" w:hAnsi="Arial"/>
                    <w:b/>
                    <w:bCs/>
                    <w:sz w:val="26"/>
                    <w:szCs w:val="26"/>
                    <w:rtl/>
                  </w:rPr>
                  <w:t>משיב</w:t>
                </w:r>
              </w:p>
            </w:tc>
          </w:sdtContent>
        </w:sdt>
        <w:tc>
          <w:tcPr>
            <w:tcW w:w="5539" w:type="dxa"/>
            <w:gridSpan w:val="2"/>
          </w:tcPr>
          <w:p w:rsidR="008F3A58" w:rsidRPr="00420E12" w:rsidRDefault="008F3A58" w:rsidP="008F3A58">
            <w:pPr>
              <w:rPr>
                <w:rFonts w:ascii="Arial" w:hAnsi="Arial"/>
                <w:b/>
                <w:bCs/>
                <w:sz w:val="26"/>
                <w:szCs w:val="26"/>
                <w:rtl/>
              </w:rPr>
            </w:pPr>
          </w:p>
          <w:p w:rsidR="008F3A58" w:rsidRPr="00136F83" w:rsidRDefault="00136F83" w:rsidP="00136F83">
            <w:pPr>
              <w:rPr>
                <w:rFonts w:ascii="Arial" w:hAnsi="Arial"/>
                <w:b/>
                <w:bCs/>
                <w:sz w:val="26"/>
                <w:szCs w:val="26"/>
                <w:rtl/>
              </w:rPr>
            </w:pPr>
            <w:r w:rsidRPr="00136F83">
              <w:rPr>
                <w:rFonts w:hint="cs"/>
                <w:b/>
                <w:bCs/>
                <w:sz w:val="26"/>
                <w:szCs w:val="26"/>
                <w:rtl/>
              </w:rPr>
              <w:t xml:space="preserve">מנהל מס ערך מוסף </w:t>
            </w:r>
            <w:r w:rsidRPr="00136F83">
              <w:rPr>
                <w:b/>
                <w:bCs/>
                <w:sz w:val="26"/>
                <w:szCs w:val="26"/>
                <w:rtl/>
              </w:rPr>
              <w:t>–</w:t>
            </w:r>
            <w:r w:rsidRPr="00136F83">
              <w:rPr>
                <w:rFonts w:hint="cs"/>
                <w:b/>
                <w:bCs/>
                <w:sz w:val="26"/>
                <w:szCs w:val="26"/>
                <w:rtl/>
              </w:rPr>
              <w:t xml:space="preserve"> תל-אביב 1</w:t>
            </w:r>
          </w:p>
          <w:p w:rsidR="008F3A58" w:rsidRDefault="00136F83" w:rsidP="00136F83">
            <w:pPr>
              <w:bidi w:val="0"/>
              <w:jc w:val="right"/>
              <w:rPr>
                <w:rFonts w:ascii="Arial" w:hAnsi="Arial"/>
                <w:b/>
                <w:bCs/>
                <w:sz w:val="26"/>
                <w:szCs w:val="26"/>
                <w:rtl/>
              </w:rPr>
            </w:pPr>
            <w:r>
              <w:rPr>
                <w:rFonts w:ascii="Arial" w:hAnsi="Arial" w:hint="cs"/>
                <w:b/>
                <w:bCs/>
                <w:sz w:val="26"/>
                <w:szCs w:val="26"/>
                <w:rtl/>
              </w:rPr>
              <w:t>ע"י ב"כ עו"ד ענבל אבלין בר-און</w:t>
            </w:r>
          </w:p>
          <w:p w:rsidR="00136F83" w:rsidRPr="00420E12" w:rsidRDefault="00136F83" w:rsidP="00136F83">
            <w:pPr>
              <w:bidi w:val="0"/>
              <w:jc w:val="right"/>
              <w:rPr>
                <w:rFonts w:ascii="Arial" w:hAnsi="Arial"/>
                <w:b/>
                <w:bCs/>
                <w:sz w:val="26"/>
                <w:szCs w:val="26"/>
                <w:rtl/>
              </w:rPr>
            </w:pPr>
            <w:r>
              <w:rPr>
                <w:rFonts w:ascii="Arial" w:hAnsi="Arial" w:hint="cs"/>
                <w:b/>
                <w:bCs/>
                <w:sz w:val="26"/>
                <w:szCs w:val="26"/>
                <w:rtl/>
              </w:rPr>
              <w:t>פמת"א (אזרחי)</w:t>
            </w:r>
          </w:p>
        </w:tc>
      </w:tr>
    </w:tbl>
    <w:p w:rsidR="0002177A" w:rsidRDefault="0002177A">
      <w:pPr>
        <w:rPr>
          <w:rtl/>
        </w:rPr>
      </w:pPr>
    </w:p>
    <w:p w:rsidR="0002177A" w:rsidRDefault="0002177A">
      <w:pPr>
        <w:rPr>
          <w:rtl/>
        </w:rPr>
      </w:pPr>
    </w:p>
    <w:p w:rsidR="0002177A" w:rsidRDefault="0002177A"/>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02177A">
        <w:trPr>
          <w:jc w:val="center"/>
        </w:trPr>
        <w:tc>
          <w:tcPr>
            <w:tcW w:w="8820" w:type="dxa"/>
          </w:tcPr>
          <w:p w:rsidR="0002177A" w:rsidRPr="00136F83" w:rsidRDefault="00375F47">
            <w:pPr>
              <w:jc w:val="center"/>
              <w:rPr>
                <w:rFonts w:ascii="Arial" w:hAnsi="Arial"/>
                <w:b/>
                <w:bCs/>
                <w:sz w:val="32"/>
                <w:szCs w:val="32"/>
                <w:u w:val="single"/>
              </w:rPr>
            </w:pPr>
            <w:r w:rsidRPr="00136F83">
              <w:rPr>
                <w:rFonts w:ascii="Arial" w:hAnsi="Arial"/>
                <w:b/>
                <w:bCs/>
                <w:sz w:val="32"/>
                <w:szCs w:val="32"/>
                <w:u w:val="single"/>
                <w:rtl/>
              </w:rPr>
              <w:t>החלטה</w:t>
            </w:r>
          </w:p>
        </w:tc>
      </w:tr>
    </w:tbl>
    <w:p w:rsidR="0002177A" w:rsidRDefault="0002177A" w:rsidP="00420E12">
      <w:pPr>
        <w:spacing w:line="360" w:lineRule="auto"/>
        <w:rPr>
          <w:rFonts w:ascii="Arial" w:hAnsi="Arial"/>
          <w:rtl/>
        </w:rPr>
      </w:pPr>
    </w:p>
    <w:p w:rsidR="00136F83" w:rsidRPr="003D024E" w:rsidRDefault="00136F83" w:rsidP="00136F83">
      <w:pPr>
        <w:spacing w:after="240" w:line="360" w:lineRule="auto"/>
        <w:jc w:val="both"/>
        <w:rPr>
          <w:rFonts w:ascii="David" w:hAnsi="David"/>
          <w:sz w:val="26"/>
          <w:szCs w:val="26"/>
          <w:rtl/>
        </w:rPr>
      </w:pPr>
      <w:r>
        <w:rPr>
          <w:rFonts w:ascii="David" w:hAnsi="David" w:hint="cs"/>
          <w:sz w:val="26"/>
          <w:szCs w:val="26"/>
          <w:rtl/>
        </w:rPr>
        <w:t>לפניי בקשה מקדמית מטעם המערער בסוגיית התיישנות. לטענת המערער, המשיב לא החליט בהשגה שהגיש בתוך התקופה שנקבעה לכך, ועל כן יש לדחות את שנקבע בהחלטה ולקבל את ההשגה</w:t>
      </w:r>
      <w:r w:rsidRPr="003D024E">
        <w:rPr>
          <w:rFonts w:ascii="David" w:hAnsi="David"/>
          <w:sz w:val="26"/>
          <w:szCs w:val="26"/>
          <w:rtl/>
        </w:rPr>
        <w:t>.</w:t>
      </w:r>
      <w:r>
        <w:rPr>
          <w:rFonts w:ascii="David" w:hAnsi="David" w:hint="cs"/>
          <w:sz w:val="26"/>
          <w:szCs w:val="26"/>
          <w:rtl/>
        </w:rPr>
        <w:t xml:space="preserve"> אקדים ואציין כי אין בידי לקבל את הבקשה.</w:t>
      </w:r>
    </w:p>
    <w:p w:rsidR="00136F83" w:rsidRDefault="00136F83" w:rsidP="00136F83">
      <w:pPr>
        <w:numPr>
          <w:ilvl w:val="0"/>
          <w:numId w:val="4"/>
        </w:numPr>
        <w:spacing w:after="240" w:line="360" w:lineRule="auto"/>
        <w:jc w:val="both"/>
        <w:rPr>
          <w:rFonts w:ascii="David" w:hAnsi="David"/>
          <w:sz w:val="26"/>
          <w:szCs w:val="26"/>
        </w:rPr>
      </w:pPr>
      <w:r>
        <w:rPr>
          <w:rFonts w:ascii="David" w:hAnsi="David" w:hint="cs"/>
          <w:sz w:val="26"/>
          <w:szCs w:val="26"/>
          <w:rtl/>
        </w:rPr>
        <w:t xml:space="preserve">למערער יצאה שומת מע"מ לפי חוק </w:t>
      </w:r>
      <w:r w:rsidRPr="004B2663">
        <w:rPr>
          <w:rFonts w:ascii="David" w:hAnsi="David"/>
          <w:sz w:val="26"/>
          <w:szCs w:val="26"/>
          <w:rtl/>
        </w:rPr>
        <w:t xml:space="preserve">מס ערך מוסף, </w:t>
      </w:r>
      <w:r>
        <w:rPr>
          <w:rFonts w:ascii="David" w:hAnsi="David" w:hint="cs"/>
          <w:sz w:val="26"/>
          <w:szCs w:val="26"/>
          <w:rtl/>
        </w:rPr>
        <w:t>ה</w:t>
      </w:r>
      <w:r w:rsidRPr="004B2663">
        <w:rPr>
          <w:rFonts w:ascii="David" w:hAnsi="David"/>
          <w:sz w:val="26"/>
          <w:szCs w:val="26"/>
          <w:rtl/>
        </w:rPr>
        <w:t>תשל"ו-1975</w:t>
      </w:r>
      <w:r>
        <w:rPr>
          <w:rFonts w:ascii="David" w:hAnsi="David" w:hint="cs"/>
          <w:sz w:val="26"/>
          <w:szCs w:val="26"/>
          <w:rtl/>
        </w:rPr>
        <w:t xml:space="preserve"> (להלן: "</w:t>
      </w:r>
      <w:r w:rsidRPr="004B2663">
        <w:rPr>
          <w:rFonts w:ascii="David" w:hAnsi="David" w:hint="cs"/>
          <w:b/>
          <w:bCs/>
          <w:sz w:val="26"/>
          <w:szCs w:val="26"/>
          <w:rtl/>
        </w:rPr>
        <w:t>החוק</w:t>
      </w:r>
      <w:r>
        <w:rPr>
          <w:rFonts w:ascii="David" w:hAnsi="David" w:hint="cs"/>
          <w:sz w:val="26"/>
          <w:szCs w:val="26"/>
          <w:rtl/>
        </w:rPr>
        <w:t xml:space="preserve">"). המערער השיג על השומה </w:t>
      </w:r>
      <w:r w:rsidRPr="002C4F3F">
        <w:rPr>
          <w:rFonts w:ascii="David" w:hAnsi="David" w:hint="cs"/>
          <w:sz w:val="26"/>
          <w:szCs w:val="26"/>
          <w:u w:val="single"/>
          <w:rtl/>
        </w:rPr>
        <w:t>ביום 1.7.2019</w:t>
      </w:r>
      <w:r>
        <w:rPr>
          <w:rFonts w:ascii="David" w:hAnsi="David" w:hint="cs"/>
          <w:sz w:val="26"/>
          <w:szCs w:val="26"/>
          <w:rtl/>
        </w:rPr>
        <w:t xml:space="preserve">. כשנה ושבועיים לאחר מכן, </w:t>
      </w:r>
      <w:r w:rsidRPr="002C4F3F">
        <w:rPr>
          <w:rFonts w:ascii="David" w:hAnsi="David" w:hint="cs"/>
          <w:sz w:val="26"/>
          <w:szCs w:val="26"/>
          <w:u w:val="single"/>
          <w:rtl/>
        </w:rPr>
        <w:t>ביום 15.7.2020</w:t>
      </w:r>
      <w:r>
        <w:rPr>
          <w:rFonts w:ascii="David" w:hAnsi="David" w:hint="cs"/>
          <w:sz w:val="26"/>
          <w:szCs w:val="26"/>
          <w:rtl/>
        </w:rPr>
        <w:t>, דחה המשיב את ההשגה.</w:t>
      </w:r>
    </w:p>
    <w:p w:rsidR="00136F83" w:rsidRPr="00535CA6" w:rsidRDefault="00136F83" w:rsidP="0098177B">
      <w:pPr>
        <w:numPr>
          <w:ilvl w:val="0"/>
          <w:numId w:val="4"/>
        </w:numPr>
        <w:spacing w:after="240" w:line="360" w:lineRule="auto"/>
        <w:jc w:val="both"/>
        <w:rPr>
          <w:rFonts w:ascii="David" w:hAnsi="David"/>
          <w:sz w:val="26"/>
          <w:szCs w:val="26"/>
        </w:rPr>
      </w:pPr>
      <w:r>
        <w:rPr>
          <w:rFonts w:ascii="David" w:hAnsi="David" w:hint="cs"/>
          <w:sz w:val="26"/>
          <w:szCs w:val="26"/>
          <w:rtl/>
        </w:rPr>
        <w:t xml:space="preserve">המערער הגיש ערעור על ההחלטה בהשגה. במסגרת הערעור טען המערער טענה מקדמית לפיה החלטת המשיב בטלה מכיוון שהיא ניתנה בחלוף למעלה משנה ממועד הגשת ההשגה. לדידו, </w:t>
      </w:r>
      <w:r w:rsidRPr="00535CA6">
        <w:rPr>
          <w:rFonts w:ascii="David" w:hAnsi="David" w:hint="cs"/>
          <w:sz w:val="26"/>
          <w:szCs w:val="26"/>
          <w:rtl/>
        </w:rPr>
        <w:t>הוראת סעיף 82(ד) לחוק קובעת</w:t>
      </w:r>
      <w:r w:rsidR="0098177B">
        <w:rPr>
          <w:rFonts w:ascii="David" w:hAnsi="David" w:hint="cs"/>
          <w:sz w:val="26"/>
          <w:szCs w:val="26"/>
          <w:rtl/>
        </w:rPr>
        <w:t>,</w:t>
      </w:r>
      <w:r w:rsidRPr="00535CA6">
        <w:rPr>
          <w:rFonts w:ascii="David" w:hAnsi="David" w:hint="cs"/>
          <w:sz w:val="26"/>
          <w:szCs w:val="26"/>
          <w:rtl/>
        </w:rPr>
        <w:t xml:space="preserve"> כי אם המשיב לא החליט בהשגה "</w:t>
      </w:r>
      <w:r w:rsidRPr="00535CA6">
        <w:rPr>
          <w:rFonts w:ascii="David" w:hAnsi="David"/>
          <w:b/>
          <w:bCs/>
          <w:sz w:val="26"/>
          <w:szCs w:val="26"/>
          <w:rtl/>
        </w:rPr>
        <w:t>תוך שנה מיום הגשת ההשגה, יראו את ההשגה כאילו נתקבלה</w:t>
      </w:r>
      <w:r w:rsidRPr="00535CA6">
        <w:rPr>
          <w:rFonts w:ascii="David" w:hAnsi="David" w:hint="cs"/>
          <w:sz w:val="26"/>
          <w:szCs w:val="26"/>
          <w:rtl/>
        </w:rPr>
        <w:t>". במקרה דנן המשיב החליט בהשגה בחלוף התקופה הקבועה בחוק.</w:t>
      </w:r>
    </w:p>
    <w:p w:rsidR="00136F83" w:rsidRPr="00315521" w:rsidRDefault="00136F83" w:rsidP="00136F83">
      <w:pPr>
        <w:numPr>
          <w:ilvl w:val="0"/>
          <w:numId w:val="4"/>
        </w:numPr>
        <w:spacing w:after="240" w:line="360" w:lineRule="auto"/>
        <w:jc w:val="both"/>
        <w:rPr>
          <w:rFonts w:ascii="David" w:hAnsi="David"/>
          <w:sz w:val="26"/>
          <w:szCs w:val="26"/>
        </w:rPr>
      </w:pPr>
      <w:r>
        <w:rPr>
          <w:rFonts w:ascii="David" w:hAnsi="David" w:hint="cs"/>
          <w:sz w:val="26"/>
          <w:szCs w:val="26"/>
          <w:rtl/>
        </w:rPr>
        <w:t>המשיב מצדו טוען</w:t>
      </w:r>
      <w:r w:rsidR="0098177B">
        <w:rPr>
          <w:rFonts w:ascii="David" w:hAnsi="David" w:hint="cs"/>
          <w:sz w:val="26"/>
          <w:szCs w:val="26"/>
          <w:rtl/>
        </w:rPr>
        <w:t>,</w:t>
      </w:r>
      <w:r>
        <w:rPr>
          <w:rFonts w:ascii="David" w:hAnsi="David" w:hint="cs"/>
          <w:sz w:val="26"/>
          <w:szCs w:val="26"/>
          <w:rtl/>
        </w:rPr>
        <w:t xml:space="preserve"> כי הוא פעל בהתאם ל</w:t>
      </w:r>
      <w:r w:rsidRPr="00315521">
        <w:rPr>
          <w:rFonts w:ascii="David" w:hAnsi="David"/>
          <w:sz w:val="26"/>
          <w:szCs w:val="26"/>
          <w:rtl/>
        </w:rPr>
        <w:t xml:space="preserve">תקנות שעת חירום (נגיף הקורונה החדש) (דחיית תקופות בענייני הליכי מס), </w:t>
      </w:r>
      <w:r>
        <w:rPr>
          <w:rFonts w:ascii="David" w:hAnsi="David" w:hint="cs"/>
          <w:sz w:val="26"/>
          <w:szCs w:val="26"/>
          <w:rtl/>
        </w:rPr>
        <w:t>ה</w:t>
      </w:r>
      <w:r w:rsidRPr="00315521">
        <w:rPr>
          <w:rFonts w:ascii="David" w:hAnsi="David"/>
          <w:sz w:val="26"/>
          <w:szCs w:val="26"/>
          <w:rtl/>
        </w:rPr>
        <w:t>תש"ף-2020</w:t>
      </w:r>
      <w:r>
        <w:rPr>
          <w:rFonts w:ascii="David" w:hAnsi="David" w:hint="cs"/>
          <w:sz w:val="26"/>
          <w:szCs w:val="26"/>
          <w:rtl/>
        </w:rPr>
        <w:t xml:space="preserve"> (להלן: "</w:t>
      </w:r>
      <w:r w:rsidRPr="00315521">
        <w:rPr>
          <w:rFonts w:ascii="David" w:hAnsi="David" w:hint="cs"/>
          <w:b/>
          <w:bCs/>
          <w:sz w:val="26"/>
          <w:szCs w:val="26"/>
          <w:rtl/>
        </w:rPr>
        <w:t>תקנות החירום</w:t>
      </w:r>
      <w:r>
        <w:rPr>
          <w:rFonts w:ascii="David" w:hAnsi="David" w:hint="cs"/>
          <w:sz w:val="26"/>
          <w:szCs w:val="26"/>
          <w:rtl/>
        </w:rPr>
        <w:t>") ו</w:t>
      </w:r>
      <w:r w:rsidRPr="00315521">
        <w:rPr>
          <w:rFonts w:ascii="David" w:hAnsi="David"/>
          <w:sz w:val="26"/>
          <w:szCs w:val="26"/>
          <w:rtl/>
        </w:rPr>
        <w:t xml:space="preserve">חוק הארכת תקופות ודחיית מועדים בענייני הליכי מס ומענקי סיוע (נגיף הקורונה החדש – הוראת שעה – תיקוני חקיקה), </w:t>
      </w:r>
      <w:r>
        <w:rPr>
          <w:rFonts w:ascii="David" w:hAnsi="David" w:hint="cs"/>
          <w:sz w:val="26"/>
          <w:szCs w:val="26"/>
          <w:rtl/>
        </w:rPr>
        <w:t>ה</w:t>
      </w:r>
      <w:r w:rsidRPr="00315521">
        <w:rPr>
          <w:rFonts w:ascii="David" w:hAnsi="David"/>
          <w:sz w:val="26"/>
          <w:szCs w:val="26"/>
          <w:rtl/>
        </w:rPr>
        <w:t>תש"ף-2020</w:t>
      </w:r>
      <w:r>
        <w:rPr>
          <w:rFonts w:ascii="David" w:hAnsi="David" w:hint="cs"/>
          <w:sz w:val="26"/>
          <w:szCs w:val="26"/>
          <w:rtl/>
        </w:rPr>
        <w:t xml:space="preserve"> (להלן: "</w:t>
      </w:r>
      <w:r w:rsidRPr="00315521">
        <w:rPr>
          <w:rFonts w:ascii="David" w:hAnsi="David" w:hint="cs"/>
          <w:b/>
          <w:bCs/>
          <w:sz w:val="26"/>
          <w:szCs w:val="26"/>
          <w:rtl/>
        </w:rPr>
        <w:t xml:space="preserve">חוק </w:t>
      </w:r>
      <w:r>
        <w:rPr>
          <w:rFonts w:ascii="David" w:hAnsi="David" w:hint="cs"/>
          <w:b/>
          <w:bCs/>
          <w:sz w:val="26"/>
          <w:szCs w:val="26"/>
          <w:rtl/>
        </w:rPr>
        <w:t>הקורונה</w:t>
      </w:r>
      <w:r>
        <w:rPr>
          <w:rFonts w:ascii="David" w:hAnsi="David" w:hint="cs"/>
          <w:sz w:val="26"/>
          <w:szCs w:val="26"/>
          <w:rtl/>
        </w:rPr>
        <w:t>"), אשר קבעו, בין היתר, כי בחישוב התקופה שנקבעה בסעיף 82(ד) לחוק, לא תובא במניין הימים התקופה שמיום 22.3.2020 עד יום 31.5.2020.</w:t>
      </w:r>
    </w:p>
    <w:p w:rsidR="00136F83" w:rsidRPr="00D70D7B" w:rsidRDefault="00136F83" w:rsidP="00136F83">
      <w:pPr>
        <w:numPr>
          <w:ilvl w:val="0"/>
          <w:numId w:val="4"/>
        </w:numPr>
        <w:spacing w:after="240" w:line="360" w:lineRule="auto"/>
        <w:jc w:val="both"/>
        <w:rPr>
          <w:rFonts w:ascii="David" w:hAnsi="David"/>
          <w:sz w:val="26"/>
          <w:szCs w:val="26"/>
        </w:rPr>
      </w:pPr>
      <w:r w:rsidRPr="00D70D7B">
        <w:rPr>
          <w:rFonts w:ascii="David" w:hAnsi="David" w:hint="cs"/>
          <w:sz w:val="26"/>
          <w:szCs w:val="26"/>
          <w:rtl/>
        </w:rPr>
        <w:lastRenderedPageBreak/>
        <w:t xml:space="preserve">מנגד טוען המערער כי הסתמכות המשיב על תקנות החירום אינה מסייעת לו מכיוון שתקנות החירום לא היו תקפות במועד מתן ההחלטה בהשגה. תקנות החירום פורסמו ביום 27.3.2020 ותוקפן הוא שלושה חודשים. לפיכך, תוקף התקנות פג ביום 27.6.2020, ואילו ההחלטה בהשגה ניתנה ביום 15.7.2020. כמו כן, חוק </w:t>
      </w:r>
      <w:r>
        <w:rPr>
          <w:rFonts w:ascii="David" w:hAnsi="David" w:hint="cs"/>
          <w:sz w:val="26"/>
          <w:szCs w:val="26"/>
          <w:rtl/>
        </w:rPr>
        <w:t>הקורונה</w:t>
      </w:r>
      <w:r w:rsidRPr="00D70D7B">
        <w:rPr>
          <w:rFonts w:ascii="David" w:hAnsi="David" w:hint="cs"/>
          <w:sz w:val="26"/>
          <w:szCs w:val="26"/>
          <w:rtl/>
        </w:rPr>
        <w:t xml:space="preserve"> נחקק רק לאחר מכן, ביום 20.7.2020</w:t>
      </w:r>
      <w:r>
        <w:rPr>
          <w:rFonts w:ascii="David" w:hAnsi="David" w:hint="cs"/>
          <w:sz w:val="26"/>
          <w:szCs w:val="26"/>
          <w:rtl/>
        </w:rPr>
        <w:t>, והוא פורסם ביום 21.7.2020</w:t>
      </w:r>
      <w:r w:rsidRPr="00D70D7B">
        <w:rPr>
          <w:rFonts w:ascii="David" w:hAnsi="David" w:hint="cs"/>
          <w:sz w:val="26"/>
          <w:szCs w:val="26"/>
          <w:rtl/>
        </w:rPr>
        <w:t>.</w:t>
      </w:r>
      <w:r>
        <w:rPr>
          <w:rFonts w:ascii="David" w:hAnsi="David" w:hint="cs"/>
          <w:sz w:val="26"/>
          <w:szCs w:val="26"/>
          <w:rtl/>
        </w:rPr>
        <w:t xml:space="preserve"> לדידו של המערער, בתקופה שבין מועד פקיעת תקנות החירום ועד למועד פרסום חוק הקורונה, הוראות סעיף 82(ד) לחוק היו תקפות ללא ההחרגות שבתקנות החירום ובחוק הקורונה.</w:t>
      </w:r>
    </w:p>
    <w:p w:rsidR="00136F83" w:rsidRPr="002C4F3F" w:rsidRDefault="00136F83" w:rsidP="00136F83">
      <w:pPr>
        <w:numPr>
          <w:ilvl w:val="0"/>
          <w:numId w:val="4"/>
        </w:numPr>
        <w:spacing w:after="240" w:line="360" w:lineRule="auto"/>
        <w:jc w:val="both"/>
        <w:rPr>
          <w:rFonts w:ascii="David" w:hAnsi="David"/>
          <w:sz w:val="26"/>
          <w:szCs w:val="26"/>
        </w:rPr>
      </w:pPr>
      <w:r w:rsidRPr="002C4F3F">
        <w:rPr>
          <w:rFonts w:ascii="David" w:hAnsi="David" w:hint="cs"/>
          <w:sz w:val="26"/>
          <w:szCs w:val="26"/>
          <w:rtl/>
        </w:rPr>
        <w:t>כאמור לעיל, אין בידי לקבל את הבקשה.</w:t>
      </w:r>
    </w:p>
    <w:p w:rsidR="00136F83" w:rsidRDefault="00136F83" w:rsidP="00136F83">
      <w:pPr>
        <w:numPr>
          <w:ilvl w:val="0"/>
          <w:numId w:val="4"/>
        </w:numPr>
        <w:spacing w:after="240" w:line="360" w:lineRule="auto"/>
        <w:jc w:val="both"/>
        <w:rPr>
          <w:rFonts w:ascii="David" w:hAnsi="David"/>
          <w:sz w:val="26"/>
          <w:szCs w:val="26"/>
        </w:rPr>
      </w:pPr>
      <w:r>
        <w:rPr>
          <w:rFonts w:ascii="David" w:hAnsi="David" w:hint="cs"/>
          <w:sz w:val="26"/>
          <w:szCs w:val="26"/>
          <w:rtl/>
        </w:rPr>
        <w:t>נראה כי המערער לא דק פורתא בהבנת הוראות תקנות החירום וחוק הקורונה.</w:t>
      </w:r>
    </w:p>
    <w:p w:rsidR="00136F83" w:rsidRDefault="00136F83" w:rsidP="00136F83">
      <w:pPr>
        <w:numPr>
          <w:ilvl w:val="0"/>
          <w:numId w:val="4"/>
        </w:numPr>
        <w:spacing w:after="240" w:line="360" w:lineRule="auto"/>
        <w:jc w:val="both"/>
        <w:rPr>
          <w:rFonts w:ascii="David" w:hAnsi="David"/>
          <w:sz w:val="26"/>
          <w:szCs w:val="26"/>
        </w:rPr>
      </w:pPr>
      <w:r>
        <w:rPr>
          <w:rFonts w:ascii="David" w:hAnsi="David" w:hint="cs"/>
          <w:sz w:val="26"/>
          <w:szCs w:val="26"/>
          <w:rtl/>
        </w:rPr>
        <w:t>בתקנות החירום ובחוק הקורונה הוגדרה "</w:t>
      </w:r>
      <w:r w:rsidRPr="00D70D7B">
        <w:rPr>
          <w:rFonts w:ascii="David" w:hAnsi="David" w:hint="cs"/>
          <w:b/>
          <w:bCs/>
          <w:sz w:val="26"/>
          <w:szCs w:val="26"/>
          <w:rtl/>
        </w:rPr>
        <w:t>התקופה הקובעת</w:t>
      </w:r>
      <w:r>
        <w:rPr>
          <w:rFonts w:ascii="David" w:hAnsi="David" w:hint="cs"/>
          <w:sz w:val="26"/>
          <w:szCs w:val="26"/>
          <w:rtl/>
        </w:rPr>
        <w:t>" כדלהלן: "</w:t>
      </w:r>
      <w:r w:rsidRPr="00D70D7B">
        <w:rPr>
          <w:rFonts w:ascii="David" w:hAnsi="David"/>
          <w:b/>
          <w:bCs/>
          <w:sz w:val="26"/>
          <w:szCs w:val="26"/>
          <w:rtl/>
        </w:rPr>
        <w:t>התקופה שמיום כ"ו באדר התש"ף (22 במרס 2020) עד יום ח' בסיוון התש"ף (31 במאי 2020)</w:t>
      </w:r>
      <w:r>
        <w:rPr>
          <w:rFonts w:ascii="David" w:hAnsi="David" w:hint="cs"/>
          <w:sz w:val="26"/>
          <w:szCs w:val="26"/>
          <w:rtl/>
        </w:rPr>
        <w:t xml:space="preserve">". </w:t>
      </w:r>
    </w:p>
    <w:p w:rsidR="00136F83" w:rsidRDefault="00136F83" w:rsidP="00136F83">
      <w:pPr>
        <w:spacing w:after="240" w:line="360" w:lineRule="auto"/>
        <w:ind w:left="360"/>
        <w:jc w:val="both"/>
        <w:rPr>
          <w:rFonts w:ascii="David" w:hAnsi="David"/>
          <w:sz w:val="26"/>
          <w:szCs w:val="26"/>
        </w:rPr>
      </w:pPr>
      <w:r>
        <w:rPr>
          <w:rFonts w:ascii="David" w:hAnsi="David" w:hint="cs"/>
          <w:sz w:val="26"/>
          <w:szCs w:val="26"/>
          <w:rtl/>
        </w:rPr>
        <w:t>ביחס לתקופה זו נקבע בתקנה 2(א) לתקנות החירום כדלהלן: "</w:t>
      </w:r>
      <w:r w:rsidRPr="00D70D7B">
        <w:rPr>
          <w:rFonts w:ascii="David" w:hAnsi="David"/>
          <w:b/>
          <w:bCs/>
          <w:sz w:val="26"/>
          <w:szCs w:val="26"/>
          <w:rtl/>
        </w:rPr>
        <w:t xml:space="preserve">בחישוב התקופות שנקבעו בהוראות החיקוקים כמפורט </w:t>
      </w:r>
      <w:r w:rsidRPr="0037599A">
        <w:rPr>
          <w:rFonts w:ascii="David" w:hAnsi="David"/>
          <w:b/>
          <w:bCs/>
          <w:sz w:val="26"/>
          <w:szCs w:val="26"/>
          <w:rtl/>
        </w:rPr>
        <w:t>להלן</w:t>
      </w:r>
      <w:r w:rsidRPr="0037599A">
        <w:rPr>
          <w:rFonts w:ascii="David" w:hAnsi="David" w:hint="cs"/>
          <w:b/>
          <w:bCs/>
          <w:sz w:val="26"/>
          <w:szCs w:val="26"/>
          <w:rtl/>
        </w:rPr>
        <w:t xml:space="preserve"> </w:t>
      </w:r>
      <w:r>
        <w:rPr>
          <w:rFonts w:ascii="David" w:hAnsi="David" w:hint="cs"/>
          <w:sz w:val="26"/>
          <w:szCs w:val="26"/>
          <w:rtl/>
        </w:rPr>
        <w:t xml:space="preserve">[שסעיף 82(ד) לחוק בא בכללן </w:t>
      </w:r>
      <w:r>
        <w:rPr>
          <w:rFonts w:ascii="David" w:hAnsi="David"/>
          <w:sz w:val="26"/>
          <w:szCs w:val="26"/>
          <w:rtl/>
        </w:rPr>
        <w:t>–</w:t>
      </w:r>
      <w:r>
        <w:rPr>
          <w:rFonts w:ascii="David" w:hAnsi="David" w:hint="cs"/>
          <w:sz w:val="26"/>
          <w:szCs w:val="26"/>
          <w:rtl/>
        </w:rPr>
        <w:t xml:space="preserve"> י"ס]</w:t>
      </w:r>
      <w:r w:rsidRPr="00D70D7B">
        <w:rPr>
          <w:rFonts w:ascii="David" w:hAnsi="David"/>
          <w:b/>
          <w:bCs/>
          <w:sz w:val="26"/>
          <w:szCs w:val="26"/>
          <w:rtl/>
        </w:rPr>
        <w:t>,</w:t>
      </w:r>
      <w:r w:rsidRPr="00D70D7B">
        <w:rPr>
          <w:rFonts w:ascii="David" w:hAnsi="David"/>
          <w:sz w:val="26"/>
          <w:szCs w:val="26"/>
          <w:rtl/>
        </w:rPr>
        <w:t xml:space="preserve"> </w:t>
      </w:r>
      <w:r w:rsidRPr="00D70D7B">
        <w:rPr>
          <w:rFonts w:ascii="David" w:hAnsi="David"/>
          <w:b/>
          <w:bCs/>
          <w:sz w:val="26"/>
          <w:szCs w:val="26"/>
          <w:rtl/>
        </w:rPr>
        <w:t>לא תבוא במניין התקופה הקובעת, אם מועדי סיומן של תקופות אלה חלים בתקופה הקובעת או בחודשיים שאחריה</w:t>
      </w:r>
      <w:r>
        <w:rPr>
          <w:rFonts w:ascii="David" w:hAnsi="David" w:hint="cs"/>
          <w:sz w:val="26"/>
          <w:szCs w:val="26"/>
          <w:rtl/>
        </w:rPr>
        <w:t>".</w:t>
      </w:r>
    </w:p>
    <w:p w:rsidR="00136F83" w:rsidRPr="00D70D7B" w:rsidRDefault="00136F83" w:rsidP="00136F83">
      <w:pPr>
        <w:spacing w:after="240" w:line="360" w:lineRule="auto"/>
        <w:ind w:left="360"/>
        <w:jc w:val="both"/>
        <w:rPr>
          <w:rFonts w:ascii="David" w:hAnsi="David"/>
          <w:sz w:val="26"/>
          <w:szCs w:val="26"/>
        </w:rPr>
      </w:pPr>
      <w:r w:rsidRPr="00D70D7B">
        <w:rPr>
          <w:rFonts w:ascii="David" w:hAnsi="David" w:hint="cs"/>
          <w:sz w:val="26"/>
          <w:szCs w:val="26"/>
          <w:rtl/>
        </w:rPr>
        <w:t xml:space="preserve">ובחוק </w:t>
      </w:r>
      <w:r>
        <w:rPr>
          <w:rFonts w:ascii="David" w:hAnsi="David" w:hint="cs"/>
          <w:sz w:val="26"/>
          <w:szCs w:val="26"/>
          <w:rtl/>
        </w:rPr>
        <w:t>הקורונה</w:t>
      </w:r>
      <w:r w:rsidRPr="00D70D7B">
        <w:rPr>
          <w:rFonts w:ascii="David" w:hAnsi="David" w:hint="cs"/>
          <w:sz w:val="26"/>
          <w:szCs w:val="26"/>
          <w:rtl/>
        </w:rPr>
        <w:t xml:space="preserve"> נקבע</w:t>
      </w:r>
      <w:r>
        <w:rPr>
          <w:rFonts w:ascii="David" w:hAnsi="David" w:hint="cs"/>
          <w:sz w:val="26"/>
          <w:szCs w:val="26"/>
          <w:rtl/>
        </w:rPr>
        <w:t xml:space="preserve"> באופן דומה</w:t>
      </w:r>
      <w:r w:rsidRPr="00D70D7B">
        <w:rPr>
          <w:rFonts w:ascii="David" w:hAnsi="David" w:hint="cs"/>
          <w:sz w:val="26"/>
          <w:szCs w:val="26"/>
          <w:rtl/>
        </w:rPr>
        <w:t xml:space="preserve"> כי "</w:t>
      </w:r>
      <w:r w:rsidRPr="00D70D7B">
        <w:rPr>
          <w:rFonts w:ascii="David" w:hAnsi="David"/>
          <w:b/>
          <w:bCs/>
          <w:sz w:val="26"/>
          <w:szCs w:val="26"/>
          <w:rtl/>
        </w:rPr>
        <w:t>בחישוב התקופות שנקבעו בהוראות החיקוקים המפורטים בסעיף קטן (ב)</w:t>
      </w:r>
      <w:r>
        <w:rPr>
          <w:rFonts w:ascii="David" w:hAnsi="David" w:hint="cs"/>
          <w:b/>
          <w:bCs/>
          <w:sz w:val="26"/>
          <w:szCs w:val="26"/>
          <w:rtl/>
        </w:rPr>
        <w:t xml:space="preserve"> </w:t>
      </w:r>
      <w:r w:rsidRPr="00D70D7B">
        <w:rPr>
          <w:rFonts w:ascii="David" w:hAnsi="David" w:hint="cs"/>
          <w:sz w:val="26"/>
          <w:szCs w:val="26"/>
          <w:rtl/>
        </w:rPr>
        <w:t xml:space="preserve">[שסעיף 82(ד) לחוק בא בכללן </w:t>
      </w:r>
      <w:r w:rsidRPr="00D70D7B">
        <w:rPr>
          <w:rFonts w:ascii="David" w:hAnsi="David"/>
          <w:sz w:val="26"/>
          <w:szCs w:val="26"/>
          <w:rtl/>
        </w:rPr>
        <w:t>–</w:t>
      </w:r>
      <w:r w:rsidRPr="00D70D7B">
        <w:rPr>
          <w:rFonts w:ascii="David" w:hAnsi="David" w:hint="cs"/>
          <w:sz w:val="26"/>
          <w:szCs w:val="26"/>
          <w:rtl/>
        </w:rPr>
        <w:t xml:space="preserve"> י"ס]</w:t>
      </w:r>
      <w:r w:rsidRPr="00D70D7B">
        <w:rPr>
          <w:rFonts w:ascii="David" w:hAnsi="David"/>
          <w:b/>
          <w:bCs/>
          <w:sz w:val="26"/>
          <w:szCs w:val="26"/>
          <w:rtl/>
        </w:rPr>
        <w:t>, התקופה הקובעת לא תבוא במניין, אם התקיימו שני אלה:</w:t>
      </w:r>
      <w:r w:rsidRPr="00D70D7B">
        <w:rPr>
          <w:rFonts w:ascii="David" w:hAnsi="David" w:hint="cs"/>
          <w:b/>
          <w:bCs/>
          <w:sz w:val="26"/>
          <w:szCs w:val="26"/>
          <w:rtl/>
        </w:rPr>
        <w:t xml:space="preserve"> </w:t>
      </w:r>
      <w:r>
        <w:rPr>
          <w:rFonts w:ascii="David" w:hAnsi="David"/>
          <w:b/>
          <w:bCs/>
          <w:sz w:val="26"/>
          <w:szCs w:val="26"/>
          <w:rtl/>
        </w:rPr>
        <w:t xml:space="preserve">(1) </w:t>
      </w:r>
      <w:r w:rsidRPr="00D70D7B">
        <w:rPr>
          <w:rFonts w:ascii="David" w:hAnsi="David"/>
          <w:b/>
          <w:bCs/>
          <w:sz w:val="26"/>
          <w:szCs w:val="26"/>
          <w:rtl/>
        </w:rPr>
        <w:t>מועדי תחילתן של התקופות חלים לפני תום התקופה הקובעת;</w:t>
      </w:r>
      <w:r w:rsidRPr="00D70D7B">
        <w:rPr>
          <w:rFonts w:ascii="David" w:hAnsi="David" w:hint="cs"/>
          <w:b/>
          <w:bCs/>
          <w:sz w:val="26"/>
          <w:szCs w:val="26"/>
          <w:rtl/>
        </w:rPr>
        <w:t xml:space="preserve"> </w:t>
      </w:r>
      <w:r>
        <w:rPr>
          <w:rFonts w:ascii="David" w:hAnsi="David"/>
          <w:b/>
          <w:bCs/>
          <w:sz w:val="26"/>
          <w:szCs w:val="26"/>
          <w:rtl/>
        </w:rPr>
        <w:t>(2)</w:t>
      </w:r>
      <w:r w:rsidRPr="00D70D7B">
        <w:rPr>
          <w:rFonts w:ascii="David" w:hAnsi="David"/>
          <w:b/>
          <w:bCs/>
          <w:sz w:val="26"/>
          <w:szCs w:val="26"/>
          <w:rtl/>
        </w:rPr>
        <w:t xml:space="preserve"> מועדי סיומן של התקופות חלים בתקופה הקובעת או בחודשיים שאחריה</w:t>
      </w:r>
      <w:r>
        <w:rPr>
          <w:rFonts w:ascii="David" w:hAnsi="David" w:hint="cs"/>
          <w:sz w:val="26"/>
          <w:szCs w:val="26"/>
          <w:rtl/>
        </w:rPr>
        <w:t>"</w:t>
      </w:r>
      <w:r w:rsidRPr="00D70D7B">
        <w:rPr>
          <w:rFonts w:ascii="David" w:hAnsi="David"/>
          <w:sz w:val="26"/>
          <w:szCs w:val="26"/>
          <w:rtl/>
        </w:rPr>
        <w:t>.</w:t>
      </w:r>
    </w:p>
    <w:p w:rsidR="00136F83" w:rsidRDefault="00136F83" w:rsidP="00322E7D">
      <w:pPr>
        <w:numPr>
          <w:ilvl w:val="0"/>
          <w:numId w:val="4"/>
        </w:numPr>
        <w:spacing w:after="240" w:line="360" w:lineRule="auto"/>
        <w:jc w:val="both"/>
        <w:rPr>
          <w:rFonts w:ascii="David" w:hAnsi="David"/>
          <w:sz w:val="26"/>
          <w:szCs w:val="26"/>
        </w:rPr>
      </w:pPr>
      <w:r>
        <w:rPr>
          <w:rFonts w:ascii="David" w:hAnsi="David" w:hint="cs"/>
          <w:sz w:val="26"/>
          <w:szCs w:val="26"/>
          <w:rtl/>
        </w:rPr>
        <w:t xml:space="preserve">הוראות תקנות החירום וחוק הקורונה ברורות הן </w:t>
      </w:r>
      <w:r>
        <w:rPr>
          <w:rFonts w:ascii="David" w:hAnsi="David"/>
          <w:sz w:val="26"/>
          <w:szCs w:val="26"/>
          <w:rtl/>
        </w:rPr>
        <w:t>–</w:t>
      </w:r>
      <w:r>
        <w:rPr>
          <w:rFonts w:ascii="David" w:hAnsi="David" w:hint="cs"/>
          <w:sz w:val="26"/>
          <w:szCs w:val="26"/>
          <w:rtl/>
        </w:rPr>
        <w:t xml:space="preserve"> בהתקיים תנאים מסוימים, התקופה הקובעת לא תבוא במניין התקופה שבסעיף 82(ד) לחוק. בענייננו, אין מחלוקת שהתנאים בתקנות החירום ובחוק הקורונה חלים. כך, ההשגה הוגשה ביום 1.7.2019, כלומר, לפני תום התקופה הקובעת, והמועד הסופי למתן החלטה בהשגה, יום</w:t>
      </w:r>
      <w:r w:rsidR="00322E7D">
        <w:rPr>
          <w:rFonts w:ascii="David" w:hAnsi="David" w:hint="cs"/>
          <w:sz w:val="26"/>
          <w:szCs w:val="26"/>
          <w:rtl/>
        </w:rPr>
        <w:t xml:space="preserve"> 1.7.2020</w:t>
      </w:r>
      <w:r>
        <w:rPr>
          <w:rFonts w:ascii="David" w:hAnsi="David" w:hint="cs"/>
          <w:sz w:val="26"/>
          <w:szCs w:val="26"/>
          <w:rtl/>
        </w:rPr>
        <w:t xml:space="preserve">, חל בחודשיים שאחרי התקופה הקובעת. </w:t>
      </w:r>
    </w:p>
    <w:p w:rsidR="00136F83" w:rsidRPr="00114123" w:rsidRDefault="00136F83" w:rsidP="00136F83">
      <w:pPr>
        <w:numPr>
          <w:ilvl w:val="0"/>
          <w:numId w:val="4"/>
        </w:numPr>
        <w:spacing w:after="240" w:line="360" w:lineRule="auto"/>
        <w:jc w:val="both"/>
        <w:rPr>
          <w:rFonts w:ascii="David" w:hAnsi="David"/>
          <w:sz w:val="26"/>
          <w:szCs w:val="26"/>
        </w:rPr>
      </w:pPr>
      <w:r w:rsidRPr="00114123">
        <w:rPr>
          <w:rFonts w:ascii="David" w:hAnsi="David" w:hint="cs"/>
          <w:sz w:val="26"/>
          <w:szCs w:val="26"/>
          <w:rtl/>
        </w:rPr>
        <w:t xml:space="preserve">בהתאם, אין לחשב במסגרת </w:t>
      </w:r>
      <w:r>
        <w:rPr>
          <w:rFonts w:ascii="David" w:hAnsi="David" w:hint="cs"/>
          <w:sz w:val="26"/>
          <w:szCs w:val="26"/>
          <w:rtl/>
        </w:rPr>
        <w:t>פרק הזמן של שנה שניתן להחלטה בהשגה</w:t>
      </w:r>
      <w:r w:rsidRPr="00114123">
        <w:rPr>
          <w:rFonts w:ascii="David" w:hAnsi="David" w:hint="cs"/>
          <w:sz w:val="26"/>
          <w:szCs w:val="26"/>
          <w:rtl/>
        </w:rPr>
        <w:t xml:space="preserve"> את התקופה הקובעת. דהיינו, במקום שנה, למשיב היה שנה ומעט יותר מחודשיים להחליט בהשגה (וראו דברי ההסבר לסעיף 2 להצעת חוק </w:t>
      </w:r>
      <w:r w:rsidRPr="00114123">
        <w:rPr>
          <w:rFonts w:ascii="David" w:hAnsi="David"/>
          <w:sz w:val="26"/>
          <w:szCs w:val="26"/>
          <w:rtl/>
        </w:rPr>
        <w:t>הארכת תקופות ודחיית מועדים בענייני הליכי מס</w:t>
      </w:r>
      <w:r>
        <w:rPr>
          <w:rFonts w:ascii="David" w:hAnsi="David" w:hint="cs"/>
          <w:sz w:val="26"/>
          <w:szCs w:val="26"/>
          <w:rtl/>
        </w:rPr>
        <w:t xml:space="preserve"> (</w:t>
      </w:r>
      <w:r w:rsidRPr="00114123">
        <w:rPr>
          <w:rFonts w:ascii="David" w:hAnsi="David"/>
          <w:sz w:val="26"/>
          <w:szCs w:val="26"/>
          <w:rtl/>
        </w:rPr>
        <w:t xml:space="preserve">הוראת שעה </w:t>
      </w:r>
      <w:r>
        <w:rPr>
          <w:rFonts w:ascii="David" w:hAnsi="David"/>
          <w:sz w:val="26"/>
          <w:szCs w:val="26"/>
          <w:rtl/>
        </w:rPr>
        <w:t>–</w:t>
      </w:r>
      <w:r w:rsidRPr="00114123">
        <w:rPr>
          <w:rFonts w:ascii="David" w:hAnsi="David"/>
          <w:sz w:val="26"/>
          <w:szCs w:val="26"/>
          <w:rtl/>
        </w:rPr>
        <w:t xml:space="preserve"> נ</w:t>
      </w:r>
      <w:r>
        <w:rPr>
          <w:rFonts w:ascii="David" w:hAnsi="David"/>
          <w:sz w:val="26"/>
          <w:szCs w:val="26"/>
          <w:rtl/>
        </w:rPr>
        <w:t>גיף הקורונה החדש</w:t>
      </w:r>
      <w:r>
        <w:rPr>
          <w:rFonts w:ascii="David" w:hAnsi="David" w:hint="cs"/>
          <w:sz w:val="26"/>
          <w:szCs w:val="26"/>
          <w:rtl/>
        </w:rPr>
        <w:t>)</w:t>
      </w:r>
      <w:r w:rsidRPr="00114123">
        <w:rPr>
          <w:rFonts w:ascii="David" w:hAnsi="David"/>
          <w:sz w:val="26"/>
          <w:szCs w:val="26"/>
          <w:rtl/>
        </w:rPr>
        <w:t>, התש"ף</w:t>
      </w:r>
      <w:r>
        <w:rPr>
          <w:rFonts w:ascii="David" w:hAnsi="David" w:hint="cs"/>
          <w:sz w:val="26"/>
          <w:szCs w:val="26"/>
          <w:rtl/>
        </w:rPr>
        <w:t xml:space="preserve">-2020, ה"ח הממשלה 156). הוראה זו </w:t>
      </w:r>
      <w:r>
        <w:rPr>
          <w:rFonts w:ascii="David" w:hAnsi="David" w:hint="cs"/>
          <w:sz w:val="26"/>
          <w:szCs w:val="26"/>
          <w:rtl/>
        </w:rPr>
        <w:lastRenderedPageBreak/>
        <w:t>דומה במהותה להוראות בדבר מועדי הגשה "הנופלים" בתוך פגרת בית המשפט, כאשר התקופה הנדחית לא תבוא במניין הימים באופן המביא לדחיית המועדים להגשה (תקנה 179(ב) ל</w:t>
      </w:r>
      <w:r w:rsidRPr="00387005">
        <w:rPr>
          <w:rFonts w:ascii="David" w:hAnsi="David"/>
          <w:sz w:val="26"/>
          <w:szCs w:val="26"/>
          <w:rtl/>
        </w:rPr>
        <w:t xml:space="preserve">תקנות סדר הדין האזרחי, </w:t>
      </w:r>
      <w:r>
        <w:rPr>
          <w:rFonts w:ascii="David" w:hAnsi="David" w:hint="cs"/>
          <w:sz w:val="26"/>
          <w:szCs w:val="26"/>
          <w:rtl/>
        </w:rPr>
        <w:t>ה</w:t>
      </w:r>
      <w:r w:rsidRPr="00387005">
        <w:rPr>
          <w:rFonts w:ascii="David" w:hAnsi="David"/>
          <w:sz w:val="26"/>
          <w:szCs w:val="26"/>
          <w:rtl/>
        </w:rPr>
        <w:t>תשע"ט-2018</w:t>
      </w:r>
      <w:r>
        <w:rPr>
          <w:rFonts w:ascii="David" w:hAnsi="David" w:hint="cs"/>
          <w:sz w:val="26"/>
          <w:szCs w:val="26"/>
          <w:rtl/>
        </w:rPr>
        <w:t>).</w:t>
      </w:r>
    </w:p>
    <w:p w:rsidR="00136F83" w:rsidRDefault="00136F83" w:rsidP="00322E7D">
      <w:pPr>
        <w:numPr>
          <w:ilvl w:val="0"/>
          <w:numId w:val="4"/>
        </w:numPr>
        <w:spacing w:after="240" w:line="360" w:lineRule="auto"/>
        <w:jc w:val="both"/>
        <w:rPr>
          <w:rFonts w:ascii="David" w:hAnsi="David"/>
          <w:sz w:val="26"/>
          <w:szCs w:val="26"/>
        </w:rPr>
      </w:pPr>
      <w:r>
        <w:rPr>
          <w:rFonts w:ascii="David" w:hAnsi="David" w:hint="cs"/>
          <w:sz w:val="26"/>
          <w:szCs w:val="26"/>
          <w:rtl/>
        </w:rPr>
        <w:t xml:space="preserve">ויובהר כי בניגוד לטענת המערער, </w:t>
      </w:r>
      <w:r w:rsidRPr="008B0401">
        <w:rPr>
          <w:rFonts w:ascii="David" w:hAnsi="David" w:hint="cs"/>
          <w:sz w:val="26"/>
          <w:szCs w:val="26"/>
          <w:rtl/>
        </w:rPr>
        <w:t xml:space="preserve">אין </w:t>
      </w:r>
      <w:r>
        <w:rPr>
          <w:rFonts w:ascii="David" w:hAnsi="David" w:hint="cs"/>
          <w:sz w:val="26"/>
          <w:szCs w:val="26"/>
          <w:rtl/>
        </w:rPr>
        <w:t xml:space="preserve">כל </w:t>
      </w:r>
      <w:r w:rsidRPr="008B0401">
        <w:rPr>
          <w:rFonts w:ascii="David" w:hAnsi="David" w:hint="cs"/>
          <w:sz w:val="26"/>
          <w:szCs w:val="26"/>
          <w:rtl/>
        </w:rPr>
        <w:t>צורך שתקנות</w:t>
      </w:r>
      <w:r>
        <w:rPr>
          <w:rFonts w:ascii="David" w:hAnsi="David" w:hint="cs"/>
          <w:sz w:val="26"/>
          <w:szCs w:val="26"/>
          <w:rtl/>
        </w:rPr>
        <w:t xml:space="preserve"> החירום</w:t>
      </w:r>
      <w:r w:rsidRPr="008B0401">
        <w:rPr>
          <w:rFonts w:ascii="David" w:hAnsi="David" w:hint="cs"/>
          <w:sz w:val="26"/>
          <w:szCs w:val="26"/>
          <w:rtl/>
        </w:rPr>
        <w:t xml:space="preserve"> יהיו בתוקף בזמן </w:t>
      </w:r>
      <w:r>
        <w:rPr>
          <w:rFonts w:ascii="David" w:hAnsi="David" w:hint="cs"/>
          <w:sz w:val="26"/>
          <w:szCs w:val="26"/>
          <w:rtl/>
        </w:rPr>
        <w:t>מועד סיומו של פרק הזמן להחלטה בהשגה, כלומר, ביום</w:t>
      </w:r>
      <w:r w:rsidR="00322E7D">
        <w:rPr>
          <w:rFonts w:ascii="David" w:hAnsi="David" w:hint="cs"/>
          <w:sz w:val="26"/>
          <w:szCs w:val="26"/>
          <w:rtl/>
        </w:rPr>
        <w:t xml:space="preserve"> 1.7.2020</w:t>
      </w:r>
      <w:r w:rsidRPr="008B0401">
        <w:rPr>
          <w:rFonts w:ascii="David" w:hAnsi="David" w:hint="cs"/>
          <w:sz w:val="26"/>
          <w:szCs w:val="26"/>
          <w:rtl/>
        </w:rPr>
        <w:t>.</w:t>
      </w:r>
      <w:r>
        <w:rPr>
          <w:rFonts w:ascii="David" w:hAnsi="David" w:hint="cs"/>
          <w:sz w:val="26"/>
          <w:szCs w:val="26"/>
          <w:rtl/>
        </w:rPr>
        <w:t xml:space="preserve"> די בכך שתקנות החירום היו בתוקף בזמן הגדרת התקופה הקובעת והארכת פרק הזמן להגשה. דהיינו, המועד להחלטה בהשגה נדחה בעת שתקנות החירום היו בתוקף. כאשר פג תוקפן של התקנות, לא מתבטלות בדיעבד ההוראות שהן קבעו כאשר היו בתוקף. זאת להבדיל מתקנות שנועדו לאפשר פעולות שלטוניות מתחדשות ומתמשכות, דוגמת מעקב אחר אזרחים או הגבלת תנועה, שמטבע הדברים, צריכות להיות בתוקף בזמן הפעולה עצמה. </w:t>
      </w:r>
    </w:p>
    <w:p w:rsidR="00136F83" w:rsidRPr="008B0401" w:rsidRDefault="00136F83" w:rsidP="00136F83">
      <w:pPr>
        <w:numPr>
          <w:ilvl w:val="0"/>
          <w:numId w:val="4"/>
        </w:numPr>
        <w:spacing w:after="240" w:line="360" w:lineRule="auto"/>
        <w:jc w:val="both"/>
        <w:rPr>
          <w:rFonts w:ascii="David" w:hAnsi="David"/>
          <w:sz w:val="26"/>
          <w:szCs w:val="26"/>
        </w:rPr>
      </w:pPr>
      <w:r>
        <w:rPr>
          <w:rFonts w:ascii="David" w:hAnsi="David" w:hint="cs"/>
          <w:sz w:val="26"/>
          <w:szCs w:val="26"/>
          <w:rtl/>
        </w:rPr>
        <w:t>על זאת יש להוסיף</w:t>
      </w:r>
      <w:r w:rsidR="00322E7D">
        <w:rPr>
          <w:rFonts w:ascii="David" w:hAnsi="David" w:hint="cs"/>
          <w:sz w:val="26"/>
          <w:szCs w:val="26"/>
          <w:rtl/>
        </w:rPr>
        <w:t>,</w:t>
      </w:r>
      <w:r>
        <w:rPr>
          <w:rFonts w:ascii="David" w:hAnsi="David" w:hint="cs"/>
          <w:sz w:val="26"/>
          <w:szCs w:val="26"/>
          <w:rtl/>
        </w:rPr>
        <w:t xml:space="preserve"> כי על אף מועד חיקוקו ביחס למועדים המוזכרים בו, חוק הקורונה קובע במפורש כי התקופה הקובעת לא תבוא במניין התקופה שבסעיף 82(ד). כך שלפי לשונו, הוא חל גם באופן רטרוספקטיבי.</w:t>
      </w:r>
    </w:p>
    <w:p w:rsidR="00136F83" w:rsidRDefault="00136F83" w:rsidP="00136F83">
      <w:pPr>
        <w:numPr>
          <w:ilvl w:val="0"/>
          <w:numId w:val="4"/>
        </w:numPr>
        <w:spacing w:after="240" w:line="360" w:lineRule="auto"/>
        <w:jc w:val="both"/>
        <w:rPr>
          <w:rFonts w:ascii="David" w:hAnsi="David"/>
          <w:sz w:val="26"/>
          <w:szCs w:val="26"/>
        </w:rPr>
      </w:pPr>
      <w:r>
        <w:rPr>
          <w:rFonts w:ascii="David" w:hAnsi="David" w:hint="cs"/>
          <w:sz w:val="26"/>
          <w:szCs w:val="26"/>
          <w:rtl/>
        </w:rPr>
        <w:t xml:space="preserve">מן הצד השני, </w:t>
      </w:r>
      <w:r w:rsidRPr="008B0401">
        <w:rPr>
          <w:rFonts w:ascii="David" w:hAnsi="David" w:hint="cs"/>
          <w:sz w:val="26"/>
          <w:szCs w:val="26"/>
          <w:rtl/>
        </w:rPr>
        <w:t>לפי פרשנות המ</w:t>
      </w:r>
      <w:r>
        <w:rPr>
          <w:rFonts w:ascii="David" w:hAnsi="David" w:hint="cs"/>
          <w:sz w:val="26"/>
          <w:szCs w:val="26"/>
          <w:rtl/>
        </w:rPr>
        <w:t>ערער</w:t>
      </w:r>
      <w:r w:rsidRPr="008B0401">
        <w:rPr>
          <w:rFonts w:ascii="David" w:hAnsi="David" w:hint="cs"/>
          <w:sz w:val="26"/>
          <w:szCs w:val="26"/>
          <w:rtl/>
        </w:rPr>
        <w:t xml:space="preserve"> </w:t>
      </w:r>
      <w:r>
        <w:rPr>
          <w:rFonts w:ascii="David" w:hAnsi="David" w:hint="cs"/>
          <w:sz w:val="26"/>
          <w:szCs w:val="26"/>
          <w:rtl/>
        </w:rPr>
        <w:t xml:space="preserve">המחוקק ומתקין התקנות השחיתו מילותיהם לריק, שכן הן תקנות החירום והן חוק הקורונה כוללים הוראות ביחס לפרק זמן שהם </w:t>
      </w:r>
      <w:r w:rsidR="00322E7D">
        <w:rPr>
          <w:rFonts w:ascii="David" w:hAnsi="David" w:hint="cs"/>
          <w:sz w:val="26"/>
          <w:szCs w:val="26"/>
          <w:rtl/>
        </w:rPr>
        <w:t xml:space="preserve">לכאורה </w:t>
      </w:r>
      <w:r>
        <w:rPr>
          <w:rFonts w:ascii="David" w:hAnsi="David" w:hint="cs"/>
          <w:sz w:val="26"/>
          <w:szCs w:val="26"/>
          <w:rtl/>
        </w:rPr>
        <w:t xml:space="preserve">לא יכולים לחול בו </w:t>
      </w:r>
      <w:r>
        <w:rPr>
          <w:rFonts w:ascii="David" w:hAnsi="David"/>
          <w:sz w:val="26"/>
          <w:szCs w:val="26"/>
          <w:rtl/>
        </w:rPr>
        <w:t>–</w:t>
      </w:r>
      <w:r>
        <w:rPr>
          <w:rFonts w:ascii="David" w:hAnsi="David" w:hint="cs"/>
          <w:sz w:val="26"/>
          <w:szCs w:val="26"/>
          <w:rtl/>
        </w:rPr>
        <w:t xml:space="preserve"> מיום 27.6.2020 עד יום 21.7.2020. לו המערער היה צודק בטענתו, מלכתחילה לא היה מקום לקבוע את אותו פרק הזמן של חודשיים לאחר התקופה הקובעת ולכל הפחות, היה מקום להחריג את התקופה שבין 27.6.2020 ל-21.7.2020.</w:t>
      </w:r>
    </w:p>
    <w:p w:rsidR="00136F83" w:rsidRDefault="00136F83" w:rsidP="00136F83">
      <w:pPr>
        <w:numPr>
          <w:ilvl w:val="0"/>
          <w:numId w:val="4"/>
        </w:numPr>
        <w:spacing w:after="240" w:line="360" w:lineRule="auto"/>
        <w:jc w:val="both"/>
        <w:rPr>
          <w:rFonts w:ascii="David" w:hAnsi="David"/>
          <w:sz w:val="26"/>
          <w:szCs w:val="26"/>
        </w:rPr>
      </w:pPr>
      <w:r>
        <w:rPr>
          <w:rFonts w:ascii="David" w:hAnsi="David" w:hint="cs"/>
          <w:sz w:val="26"/>
          <w:szCs w:val="26"/>
          <w:rtl/>
        </w:rPr>
        <w:t>על זאת יש להוסיף כי שיטת המערער עלולה לגרום נזק כבד לציבור הנישומים, שכן משמעותה היא גם דחיית בקשות, השגות וערעורים שהגישו נישומים.</w:t>
      </w:r>
    </w:p>
    <w:p w:rsidR="00322E7D" w:rsidRDefault="00136F83" w:rsidP="00136F83">
      <w:pPr>
        <w:numPr>
          <w:ilvl w:val="0"/>
          <w:numId w:val="4"/>
        </w:numPr>
        <w:spacing w:after="240" w:line="360" w:lineRule="auto"/>
        <w:jc w:val="both"/>
        <w:rPr>
          <w:rFonts w:ascii="David" w:hAnsi="David"/>
          <w:sz w:val="26"/>
          <w:szCs w:val="26"/>
        </w:rPr>
      </w:pPr>
      <w:r w:rsidRPr="005E28B9">
        <w:rPr>
          <w:rFonts w:ascii="David" w:hAnsi="David"/>
          <w:sz w:val="26"/>
          <w:szCs w:val="26"/>
          <w:rtl/>
        </w:rPr>
        <w:t>סיכומם של דברים,</w:t>
      </w:r>
      <w:r w:rsidRPr="005E28B9">
        <w:rPr>
          <w:rFonts w:ascii="David" w:hAnsi="David" w:hint="cs"/>
          <w:sz w:val="26"/>
          <w:szCs w:val="26"/>
          <w:rtl/>
        </w:rPr>
        <w:t xml:space="preserve"> הבקשה נדחית</w:t>
      </w:r>
      <w:r w:rsidRPr="005E28B9">
        <w:rPr>
          <w:rFonts w:ascii="David" w:hAnsi="David"/>
          <w:sz w:val="26"/>
          <w:szCs w:val="26"/>
          <w:rtl/>
        </w:rPr>
        <w:t xml:space="preserve">. </w:t>
      </w:r>
    </w:p>
    <w:p w:rsidR="00136F83" w:rsidRPr="005E28B9" w:rsidRDefault="00136F83" w:rsidP="00322E7D">
      <w:pPr>
        <w:spacing w:after="240" w:line="360" w:lineRule="auto"/>
        <w:ind w:left="360"/>
        <w:jc w:val="both"/>
        <w:rPr>
          <w:rFonts w:ascii="David" w:hAnsi="David"/>
          <w:sz w:val="26"/>
          <w:szCs w:val="26"/>
        </w:rPr>
      </w:pPr>
      <w:r w:rsidRPr="005E28B9">
        <w:rPr>
          <w:rFonts w:ascii="David" w:hAnsi="David" w:hint="cs"/>
          <w:sz w:val="26"/>
          <w:szCs w:val="26"/>
          <w:rtl/>
        </w:rPr>
        <w:t xml:space="preserve">משהמערער הסכים כי החלטה בבקשה דנן תייתר חלק נכבד מן ערעורו </w:t>
      </w:r>
      <w:r>
        <w:rPr>
          <w:rFonts w:ascii="David" w:hAnsi="David" w:hint="cs"/>
          <w:sz w:val="26"/>
          <w:szCs w:val="26"/>
          <w:rtl/>
        </w:rPr>
        <w:t>ולאור האיחור בהגשת סיכומי המשיב</w:t>
      </w:r>
      <w:r w:rsidRPr="005E28B9">
        <w:rPr>
          <w:rFonts w:ascii="David" w:hAnsi="David" w:hint="cs"/>
          <w:sz w:val="26"/>
          <w:szCs w:val="26"/>
          <w:rtl/>
        </w:rPr>
        <w:t>, אין צו להוצאות.</w:t>
      </w:r>
    </w:p>
    <w:p w:rsidR="0002177A" w:rsidRPr="00136F83" w:rsidRDefault="0002177A" w:rsidP="00420E12">
      <w:pPr>
        <w:spacing w:line="360" w:lineRule="auto"/>
        <w:jc w:val="both"/>
        <w:rPr>
          <w:rFonts w:ascii="Arial" w:hAnsi="Arial"/>
          <w:rtl/>
        </w:rPr>
      </w:pPr>
    </w:p>
    <w:p w:rsidR="0002177A" w:rsidRDefault="0002177A" w:rsidP="00420E12">
      <w:pPr>
        <w:spacing w:line="360" w:lineRule="auto"/>
        <w:jc w:val="both"/>
        <w:rPr>
          <w:rFonts w:ascii="Arial" w:hAnsi="Arial"/>
          <w:rtl/>
        </w:rPr>
      </w:pPr>
    </w:p>
    <w:p w:rsidR="0002177A" w:rsidRDefault="00375F47">
      <w:pPr>
        <w:spacing w:line="360" w:lineRule="auto"/>
        <w:jc w:val="both"/>
        <w:rPr>
          <w:rFonts w:ascii="Arial" w:hAnsi="Arial"/>
          <w:rtl/>
        </w:rPr>
      </w:pPr>
      <w:r>
        <w:rPr>
          <w:rFonts w:ascii="Arial" w:hAnsi="Arial"/>
          <w:rtl/>
        </w:rPr>
        <w:t>נית</w:t>
      </w:r>
      <w:r>
        <w:rPr>
          <w:rFonts w:ascii="Arial" w:hAnsi="Arial" w:hint="cs"/>
          <w:rtl/>
        </w:rPr>
        <w:t>נה</w:t>
      </w:r>
      <w:r>
        <w:rPr>
          <w:rFonts w:ascii="Arial" w:hAnsi="Arial"/>
          <w:rtl/>
        </w:rPr>
        <w:t xml:space="preserve"> היום,  </w:t>
      </w:r>
      <w:sdt>
        <w:sdtPr>
          <w:rPr>
            <w:rtl/>
          </w:rPr>
          <w:alias w:val="1455"/>
          <w:tag w:val="1455"/>
          <w:id w:val="1424607196"/>
          <w:text w:multiLine="1"/>
        </w:sdtPr>
        <w:sdtEndPr/>
        <w:sdtContent>
          <w:r>
            <w:rPr>
              <w:rFonts w:ascii="Arial" w:hAnsi="Arial"/>
              <w:rtl/>
            </w:rPr>
            <w:t>כ"א תמוז תשפ"ג</w:t>
          </w:r>
        </w:sdtContent>
      </w:sdt>
      <w:r>
        <w:rPr>
          <w:rFonts w:ascii="Arial" w:hAnsi="Arial"/>
          <w:rtl/>
        </w:rPr>
        <w:t xml:space="preserve">, </w:t>
      </w:r>
      <w:sdt>
        <w:sdtPr>
          <w:rPr>
            <w:rtl/>
          </w:rPr>
          <w:alias w:val="1456"/>
          <w:tag w:val="1456"/>
          <w:id w:val="-1331525173"/>
          <w:text w:multiLine="1"/>
        </w:sdtPr>
        <w:sdtEndPr/>
        <w:sdtContent>
          <w:r>
            <w:rPr>
              <w:rFonts w:ascii="Arial" w:hAnsi="Arial"/>
              <w:rtl/>
            </w:rPr>
            <w:t>10 יולי 2023</w:t>
          </w:r>
        </w:sdtContent>
      </w:sdt>
      <w:r>
        <w:rPr>
          <w:rFonts w:ascii="Arial" w:hAnsi="Arial"/>
          <w:rtl/>
        </w:rPr>
        <w:t>, בהעדר הצדדים.</w:t>
      </w:r>
    </w:p>
    <w:p w:rsidR="0002177A" w:rsidRDefault="00375F47" w:rsidP="009C1537">
      <w:pPr>
        <w:tabs>
          <w:tab w:val="left" w:pos="2553"/>
        </w:tabs>
        <w:spacing w:line="360" w:lineRule="auto"/>
        <w:jc w:val="center"/>
        <w:rPr>
          <w:rtl/>
        </w:rPr>
      </w:pPr>
      <w:r>
        <w:rPr>
          <w:rFonts w:hint="cs"/>
          <w:rtl/>
        </w:rPr>
        <w:tab/>
      </w:r>
      <w:sdt>
        <w:sdtPr>
          <w:rPr>
            <w:rFonts w:hint="cs"/>
            <w:rtl/>
          </w:rPr>
          <w:alias w:val="2045"/>
          <w:tag w:val="2045"/>
          <w:id w:val="1701280785"/>
          <w:placeholder>
            <w:docPart w:val="647C5F5A17CE48D5BFFBFC7D0687C4D8"/>
          </w:placeholder>
          <w:showingPlcHdr/>
          <w:text w:multiLine="1"/>
        </w:sdtPr>
        <w:sdtEndPr/>
        <w:sdtContent>
          <w:r w:rsidR="009C1537">
            <w:rPr>
              <w:rStyle w:val="aa"/>
              <w:rFonts w:hint="cs"/>
              <w:rtl/>
            </w:rPr>
            <w:t xml:space="preserve">    </w:t>
          </w:r>
        </w:sdtContent>
      </w:sdt>
      <w:r w:rsidR="009C1537">
        <w:rPr>
          <w:rtl/>
        </w:rPr>
        <w:t xml:space="preserve"> </w:t>
      </w: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p w:rsidR="0002177A" w:rsidRDefault="0002177A">
      <w:pPr>
        <w:rPr>
          <w:rFonts w:ascii="Arial" w:hAnsi="Arial"/>
          <w:rtl/>
        </w:rPr>
      </w:pPr>
    </w:p>
    <w:sdt>
      <w:sdtPr>
        <w:rPr>
          <w:rtl/>
        </w:rPr>
        <w:alias w:val="MergeField"/>
        <w:tag w:val="1237"/>
        <w:id w:val="-134880726"/>
      </w:sdtPr>
      <w:sdtEndPr/>
      <w:sdtContent>
        <w:p w:rsidR="00A67BF7" w:rsidRDefault="00BC4F46">
          <w:r>
            <w:rPr>
              <w:noProof/>
            </w:rPr>
            <w:drawing>
              <wp:inline distT="0" distB="0" distL="0" distR="0" wp14:editId="50D07946">
                <wp:extent cx="1371600" cy="7715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71600" cy="771525"/>
                        </a:xfrm>
                        <a:prstGeom prst="rect">
                          <a:avLst/>
                        </a:prstGeom>
                      </pic:spPr>
                    </pic:pic>
                  </a:graphicData>
                </a:graphic>
              </wp:inline>
            </w:drawing>
          </w:r>
        </w:p>
      </w:sdtContent>
    </w:sdt>
    <w:sectPr w:rsidR="00A67BF7" w:rsidSect="00E67EFF">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2D5" w:rsidRDefault="007762D5">
      <w:r>
        <w:separator/>
      </w:r>
    </w:p>
  </w:endnote>
  <w:endnote w:type="continuationSeparator" w:id="0">
    <w:p w:rsidR="007762D5" w:rsidRDefault="00776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CE68C8">
    <w:pPr>
      <w:pStyle w:val="a4"/>
      <w:framePr w:wrap="around" w:vAnchor="text" w:hAnchor="text" w:xAlign="center" w:y="1"/>
      <w:rPr>
        <w:rStyle w:val="a9"/>
      </w:rPr>
    </w:pPr>
    <w:r>
      <w:rPr>
        <w:rStyle w:val="a9"/>
        <w:rtl/>
      </w:rPr>
      <w:fldChar w:fldCharType="begin"/>
    </w:r>
    <w:r w:rsidR="00375F47">
      <w:rPr>
        <w:rStyle w:val="a9"/>
      </w:rPr>
      <w:instrText xml:space="preserve">PAGE  </w:instrText>
    </w:r>
    <w:r>
      <w:rPr>
        <w:rStyle w:val="a9"/>
        <w:rtl/>
      </w:rPr>
      <w:fldChar w:fldCharType="end"/>
    </w:r>
  </w:p>
  <w:p w:rsidR="0002177A" w:rsidRDefault="0002177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4"/>
      <w:jc w:val="center"/>
    </w:pPr>
    <w:r>
      <w:rPr>
        <w:rtl/>
      </w:rPr>
      <w:t>עמוד</w:t>
    </w:r>
    <w:r>
      <w:t xml:space="preserve"> </w:t>
    </w:r>
    <w:r w:rsidR="00CE68C8">
      <w:fldChar w:fldCharType="begin"/>
    </w:r>
    <w:r>
      <w:instrText xml:space="preserve"> PAGE </w:instrText>
    </w:r>
    <w:r w:rsidR="00CE68C8">
      <w:fldChar w:fldCharType="separate"/>
    </w:r>
    <w:r w:rsidR="00B95BA0">
      <w:rPr>
        <w:noProof/>
        <w:rtl/>
      </w:rPr>
      <w:t>1</w:t>
    </w:r>
    <w:r w:rsidR="00CE68C8">
      <w:fldChar w:fldCharType="end"/>
    </w:r>
    <w:r>
      <w:t xml:space="preserve"> </w:t>
    </w:r>
    <w:r>
      <w:rPr>
        <w:rtl/>
      </w:rPr>
      <w:t>מתוך</w:t>
    </w:r>
    <w:r>
      <w:t xml:space="preserve"> </w:t>
    </w:r>
    <w:r w:rsidR="00CE68C8">
      <w:fldChar w:fldCharType="begin"/>
    </w:r>
    <w:r>
      <w:instrText xml:space="preserve"> NUMPAGES </w:instrText>
    </w:r>
    <w:r w:rsidR="00CE68C8">
      <w:fldChar w:fldCharType="separate"/>
    </w:r>
    <w:r w:rsidR="00B95BA0">
      <w:rPr>
        <w:noProof/>
        <w:rtl/>
      </w:rPr>
      <w:t>4</w:t>
    </w:r>
    <w:r w:rsidR="00CE6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83" w:rsidRDefault="00136F8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2D5" w:rsidRDefault="007762D5">
      <w:r>
        <w:separator/>
      </w:r>
    </w:p>
  </w:footnote>
  <w:footnote w:type="continuationSeparator" w:id="0">
    <w:p w:rsidR="007762D5" w:rsidRDefault="00776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83" w:rsidRDefault="00136F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177A" w:rsidRDefault="00375F47">
    <w:pPr>
      <w:pStyle w:val="a3"/>
      <w:jc w:val="center"/>
      <w:rPr>
        <w:rFonts w:cs="FrankRuehl"/>
        <w:sz w:val="28"/>
        <w:szCs w:val="28"/>
        <w:rtl/>
      </w:rPr>
    </w:pPr>
    <w:r>
      <w:rPr>
        <w:rFonts w:cs="Times New Roman" w:hint="cs"/>
        <w:b/>
        <w:bCs/>
        <w:sz w:val="26"/>
        <w:szCs w:val="28"/>
        <w:rtl/>
      </w:rPr>
      <w:t xml:space="preserve"> </w:t>
    </w:r>
    <w:r w:rsidR="009B3B23">
      <w:rPr>
        <w:rFonts w:cs="FrankRuehl"/>
        <w:noProof/>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774"/>
      <w:gridCol w:w="1024"/>
      <w:gridCol w:w="3509"/>
    </w:tblGrid>
    <w:tr w:rsidR="0002177A">
      <w:trPr>
        <w:trHeight w:hRule="exact" w:val="418"/>
        <w:jc w:val="center"/>
      </w:trPr>
      <w:tc>
        <w:tcPr>
          <w:tcW w:w="8721" w:type="dxa"/>
          <w:gridSpan w:val="3"/>
        </w:tcPr>
        <w:p w:rsidR="0002177A" w:rsidRPr="00420E12" w:rsidRDefault="008F1ABF">
          <w:pPr>
            <w:pStyle w:val="a3"/>
            <w:jc w:val="center"/>
            <w:rPr>
              <w:rFonts w:ascii="Tahoma" w:hAnsi="Tahoma"/>
              <w:b/>
              <w:bCs/>
              <w:color w:val="000080"/>
              <w:sz w:val="32"/>
              <w:szCs w:val="32"/>
              <w:rtl/>
            </w:rPr>
          </w:pPr>
          <w:r w:rsidRPr="00420E12">
            <w:rPr>
              <w:rFonts w:ascii="Tahoma" w:hAnsi="Tahoma" w:hint="cs"/>
              <w:b/>
              <w:bCs/>
              <w:color w:val="000080"/>
              <w:sz w:val="32"/>
              <w:szCs w:val="32"/>
              <w:rtl/>
            </w:rPr>
            <w:t>בית המשפט המחוזי בתל אביב - יפו</w:t>
          </w:r>
        </w:p>
      </w:tc>
    </w:tr>
    <w:tr w:rsidR="0002177A">
      <w:trPr>
        <w:trHeight w:val="337"/>
        <w:jc w:val="center"/>
      </w:trPr>
      <w:tc>
        <w:tcPr>
          <w:tcW w:w="3979" w:type="dxa"/>
        </w:tcPr>
        <w:p w:rsidR="0002177A" w:rsidRDefault="0002177A">
          <w:pPr>
            <w:rPr>
              <w:b/>
              <w:bCs/>
              <w:sz w:val="26"/>
              <w:szCs w:val="26"/>
              <w:rtl/>
            </w:rPr>
          </w:pPr>
        </w:p>
      </w:tc>
      <w:tc>
        <w:tcPr>
          <w:tcW w:w="1070" w:type="dxa"/>
        </w:tcPr>
        <w:p w:rsidR="0002177A" w:rsidRDefault="0002177A">
          <w:pPr>
            <w:pStyle w:val="a3"/>
            <w:jc w:val="center"/>
            <w:rPr>
              <w:b/>
              <w:bCs/>
              <w:sz w:val="26"/>
              <w:szCs w:val="26"/>
              <w:rtl/>
            </w:rPr>
          </w:pPr>
        </w:p>
      </w:tc>
      <w:sdt>
        <w:sdtPr>
          <w:rPr>
            <w:rtl/>
          </w:rPr>
          <w:alias w:val="1456"/>
          <w:tag w:val="1456"/>
          <w:id w:val="1081642394"/>
          <w:text/>
        </w:sdtPr>
        <w:sdtEndPr/>
        <w:sdtContent>
          <w:tc>
            <w:tcPr>
              <w:tcW w:w="3672" w:type="dxa"/>
            </w:tcPr>
            <w:p w:rsidR="0002177A" w:rsidRDefault="00375F47">
              <w:pPr>
                <w:pStyle w:val="a3"/>
                <w:jc w:val="center"/>
                <w:rPr>
                  <w:b/>
                  <w:bCs/>
                  <w:sz w:val="26"/>
                  <w:szCs w:val="26"/>
                  <w:rtl/>
                </w:rPr>
              </w:pPr>
              <w:r>
                <w:rPr>
                  <w:b/>
                  <w:bCs/>
                  <w:sz w:val="26"/>
                  <w:szCs w:val="26"/>
                  <w:rtl/>
                </w:rPr>
                <w:t>10 יולי 2023</w:t>
              </w:r>
            </w:p>
          </w:tc>
        </w:sdtContent>
      </w:sdt>
    </w:tr>
    <w:tr w:rsidR="0002177A">
      <w:trPr>
        <w:trHeight w:val="337"/>
        <w:jc w:val="center"/>
      </w:trPr>
      <w:tc>
        <w:tcPr>
          <w:tcW w:w="8721" w:type="dxa"/>
          <w:gridSpan w:val="3"/>
        </w:tcPr>
        <w:p w:rsidR="0002177A" w:rsidRDefault="007762D5">
          <w:pPr>
            <w:rPr>
              <w:b/>
              <w:bCs/>
              <w:sz w:val="26"/>
              <w:szCs w:val="26"/>
              <w:rtl/>
            </w:rPr>
          </w:pPr>
          <w:sdt>
            <w:sdtPr>
              <w:rPr>
                <w:rtl/>
              </w:rPr>
              <w:alias w:val="1170"/>
              <w:tag w:val="1170"/>
              <w:id w:val="-1592229859"/>
              <w:text w:multiLine="1"/>
            </w:sdtPr>
            <w:sdtEndPr/>
            <w:sdtContent>
              <w:r w:rsidR="00E67EFF">
                <w:rPr>
                  <w:b/>
                  <w:bCs/>
                  <w:sz w:val="26"/>
                  <w:szCs w:val="26"/>
                  <w:rtl/>
                </w:rPr>
                <w:t>ע"מ</w:t>
              </w:r>
            </w:sdtContent>
          </w:sdt>
          <w:r w:rsidR="00375F47">
            <w:rPr>
              <w:rFonts w:hint="cs"/>
              <w:b/>
              <w:bCs/>
              <w:sz w:val="26"/>
              <w:szCs w:val="26"/>
              <w:rtl/>
            </w:rPr>
            <w:t xml:space="preserve"> </w:t>
          </w:r>
          <w:sdt>
            <w:sdtPr>
              <w:rPr>
                <w:rtl/>
              </w:rPr>
              <w:alias w:val="1171"/>
              <w:tag w:val="1171"/>
              <w:id w:val="739214549"/>
              <w:text w:multiLine="1"/>
            </w:sdtPr>
            <w:sdtEndPr/>
            <w:sdtContent>
              <w:r w:rsidR="00E67EFF">
                <w:rPr>
                  <w:b/>
                  <w:bCs/>
                  <w:sz w:val="26"/>
                  <w:szCs w:val="26"/>
                  <w:rtl/>
                </w:rPr>
                <w:t>9232-09-22</w:t>
              </w:r>
            </w:sdtContent>
          </w:sdt>
          <w:r w:rsidR="00375F47">
            <w:rPr>
              <w:rFonts w:hint="cs"/>
              <w:b/>
              <w:bCs/>
              <w:sz w:val="26"/>
              <w:szCs w:val="26"/>
              <w:rtl/>
            </w:rPr>
            <w:t xml:space="preserve"> </w:t>
          </w:r>
          <w:sdt>
            <w:sdtPr>
              <w:rPr>
                <w:rtl/>
              </w:rPr>
              <w:alias w:val="1172"/>
              <w:tag w:val="1172"/>
              <w:id w:val="946972896"/>
              <w:text w:multiLine="1"/>
            </w:sdtPr>
            <w:sdtEndPr/>
            <w:sdtContent>
              <w:r w:rsidR="00E67EFF">
                <w:rPr>
                  <w:b/>
                  <w:bCs/>
                  <w:sz w:val="26"/>
                  <w:szCs w:val="26"/>
                  <w:rtl/>
                </w:rPr>
                <w:t>אבו עגווה נ' מע"מ ת"א 2,1</w:t>
              </w:r>
            </w:sdtContent>
          </w:sdt>
        </w:p>
        <w:p w:rsidR="0002177A" w:rsidRDefault="0002177A">
          <w:pPr>
            <w:rPr>
              <w:rtl/>
            </w:rPr>
          </w:pPr>
        </w:p>
      </w:tc>
    </w:tr>
  </w:tbl>
  <w:p w:rsidR="0002177A" w:rsidRDefault="0002177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6F83" w:rsidRDefault="00136F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D6ADA"/>
    <w:multiLevelType w:val="hybridMultilevel"/>
    <w:tmpl w:val="F0BE64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5A1C15"/>
    <w:multiLevelType w:val="hybridMultilevel"/>
    <w:tmpl w:val="0D663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7A571CE"/>
    <w:multiLevelType w:val="hybridMultilevel"/>
    <w:tmpl w:val="65B65C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EF40F3"/>
    <w:multiLevelType w:val="multilevel"/>
    <w:tmpl w:val="F7CCE868"/>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77A"/>
    <w:rsid w:val="0002177A"/>
    <w:rsid w:val="000C5CCC"/>
    <w:rsid w:val="00136F83"/>
    <w:rsid w:val="002021AB"/>
    <w:rsid w:val="002410D6"/>
    <w:rsid w:val="002F2B2B"/>
    <w:rsid w:val="003045BC"/>
    <w:rsid w:val="00322E7D"/>
    <w:rsid w:val="00347822"/>
    <w:rsid w:val="0037599A"/>
    <w:rsid w:val="00375F47"/>
    <w:rsid w:val="0040244A"/>
    <w:rsid w:val="00420E12"/>
    <w:rsid w:val="005179AC"/>
    <w:rsid w:val="005C2A9A"/>
    <w:rsid w:val="00683F57"/>
    <w:rsid w:val="00694645"/>
    <w:rsid w:val="006A5FC7"/>
    <w:rsid w:val="006C0C79"/>
    <w:rsid w:val="006E4AD7"/>
    <w:rsid w:val="00703346"/>
    <w:rsid w:val="007762D5"/>
    <w:rsid w:val="008168D9"/>
    <w:rsid w:val="008E0032"/>
    <w:rsid w:val="008F1ABF"/>
    <w:rsid w:val="008F3A58"/>
    <w:rsid w:val="009117C1"/>
    <w:rsid w:val="00964459"/>
    <w:rsid w:val="0098177B"/>
    <w:rsid w:val="009B3B23"/>
    <w:rsid w:val="009C1537"/>
    <w:rsid w:val="009F2788"/>
    <w:rsid w:val="00A054F6"/>
    <w:rsid w:val="00A33606"/>
    <w:rsid w:val="00A37AED"/>
    <w:rsid w:val="00A67BF7"/>
    <w:rsid w:val="00AC7E32"/>
    <w:rsid w:val="00B95BA0"/>
    <w:rsid w:val="00BA470F"/>
    <w:rsid w:val="00BA65E6"/>
    <w:rsid w:val="00BC4F46"/>
    <w:rsid w:val="00C13A12"/>
    <w:rsid w:val="00C93CEB"/>
    <w:rsid w:val="00CE68C8"/>
    <w:rsid w:val="00D26926"/>
    <w:rsid w:val="00DF03B1"/>
    <w:rsid w:val="00E444F8"/>
    <w:rsid w:val="00E64429"/>
    <w:rsid w:val="00E67EFF"/>
    <w:rsid w:val="00EC5735"/>
    <w:rsid w:val="00F658B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170260A-08C9-4B16-837F-300810950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2CEF"/>
    <w:pPr>
      <w:bidi/>
    </w:pPr>
    <w:rPr>
      <w:rFonts w:cs="David"/>
      <w:sz w:val="24"/>
      <w:szCs w:val="24"/>
    </w:rPr>
  </w:style>
  <w:style w:type="paragraph" w:styleId="4">
    <w:name w:val="heading 4"/>
    <w:basedOn w:val="a"/>
    <w:next w:val="a"/>
    <w:qFormat/>
    <w:rsid w:val="00832CEF"/>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32CEF"/>
    <w:pPr>
      <w:tabs>
        <w:tab w:val="center" w:pos="4153"/>
        <w:tab w:val="right" w:pos="8306"/>
      </w:tabs>
    </w:pPr>
  </w:style>
  <w:style w:type="paragraph" w:styleId="a4">
    <w:name w:val="footer"/>
    <w:basedOn w:val="a"/>
    <w:rsid w:val="00832CEF"/>
    <w:pPr>
      <w:tabs>
        <w:tab w:val="center" w:pos="4153"/>
        <w:tab w:val="right" w:pos="8306"/>
      </w:tabs>
    </w:pPr>
  </w:style>
  <w:style w:type="table" w:styleId="a5">
    <w:name w:val="Table Grid"/>
    <w:basedOn w:val="a1"/>
    <w:rsid w:val="00832CE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832CEF"/>
    <w:rPr>
      <w:sz w:val="16"/>
      <w:szCs w:val="16"/>
    </w:rPr>
  </w:style>
  <w:style w:type="paragraph" w:styleId="a7">
    <w:name w:val="annotation text"/>
    <w:basedOn w:val="a"/>
    <w:semiHidden/>
    <w:rsid w:val="00832CEF"/>
    <w:rPr>
      <w:rFonts w:cs="Times New Roman"/>
    </w:rPr>
  </w:style>
  <w:style w:type="paragraph" w:styleId="a8">
    <w:name w:val="Balloon Text"/>
    <w:basedOn w:val="a"/>
    <w:semiHidden/>
    <w:rsid w:val="00832CEF"/>
    <w:rPr>
      <w:rFonts w:ascii="Tahoma" w:hAnsi="Tahoma" w:cs="Tahoma"/>
      <w:sz w:val="16"/>
      <w:szCs w:val="16"/>
    </w:rPr>
  </w:style>
  <w:style w:type="character" w:styleId="a9">
    <w:name w:val="page number"/>
    <w:basedOn w:val="a0"/>
    <w:rsid w:val="00832CEF"/>
  </w:style>
  <w:style w:type="character" w:styleId="aa">
    <w:name w:val="Placeholder Text"/>
    <w:basedOn w:val="a0"/>
    <w:uiPriority w:val="99"/>
    <w:semiHidden/>
    <w:rsid w:val="009C15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051752">
      <w:bodyDiv w:val="1"/>
      <w:marLeft w:val="0"/>
      <w:marRight w:val="0"/>
      <w:marTop w:val="0"/>
      <w:marBottom w:val="0"/>
      <w:divBdr>
        <w:top w:val="none" w:sz="0" w:space="0" w:color="auto"/>
        <w:left w:val="none" w:sz="0" w:space="0" w:color="auto"/>
        <w:bottom w:val="none" w:sz="0" w:space="0" w:color="auto"/>
        <w:right w:val="none" w:sz="0" w:space="0" w:color="auto"/>
      </w:divBdr>
    </w:div>
    <w:div w:id="500393631">
      <w:bodyDiv w:val="1"/>
      <w:marLeft w:val="0"/>
      <w:marRight w:val="0"/>
      <w:marTop w:val="0"/>
      <w:marBottom w:val="0"/>
      <w:divBdr>
        <w:top w:val="none" w:sz="0" w:space="0" w:color="auto"/>
        <w:left w:val="none" w:sz="0" w:space="0" w:color="auto"/>
        <w:bottom w:val="none" w:sz="0" w:space="0" w:color="auto"/>
        <w:right w:val="none" w:sz="0" w:space="0" w:color="auto"/>
      </w:divBdr>
    </w:div>
    <w:div w:id="977877198">
      <w:bodyDiv w:val="1"/>
      <w:marLeft w:val="0"/>
      <w:marRight w:val="0"/>
      <w:marTop w:val="0"/>
      <w:marBottom w:val="0"/>
      <w:divBdr>
        <w:top w:val="none" w:sz="0" w:space="0" w:color="auto"/>
        <w:left w:val="none" w:sz="0" w:space="0" w:color="auto"/>
        <w:bottom w:val="none" w:sz="0" w:space="0" w:color="auto"/>
        <w:right w:val="none" w:sz="0" w:space="0" w:color="auto"/>
      </w:divBdr>
    </w:div>
    <w:div w:id="1029526998">
      <w:bodyDiv w:val="1"/>
      <w:marLeft w:val="0"/>
      <w:marRight w:val="0"/>
      <w:marTop w:val="0"/>
      <w:marBottom w:val="0"/>
      <w:divBdr>
        <w:top w:val="none" w:sz="0" w:space="0" w:color="auto"/>
        <w:left w:val="none" w:sz="0" w:space="0" w:color="auto"/>
        <w:bottom w:val="none" w:sz="0" w:space="0" w:color="auto"/>
        <w:right w:val="none" w:sz="0" w:space="0" w:color="auto"/>
      </w:divBdr>
    </w:div>
    <w:div w:id="1097292481">
      <w:bodyDiv w:val="1"/>
      <w:marLeft w:val="0"/>
      <w:marRight w:val="0"/>
      <w:marTop w:val="0"/>
      <w:marBottom w:val="0"/>
      <w:divBdr>
        <w:top w:val="none" w:sz="0" w:space="0" w:color="auto"/>
        <w:left w:val="none" w:sz="0" w:space="0" w:color="auto"/>
        <w:bottom w:val="none" w:sz="0" w:space="0" w:color="auto"/>
        <w:right w:val="none" w:sz="0" w:space="0" w:color="auto"/>
      </w:divBdr>
    </w:div>
    <w:div w:id="1292905156">
      <w:bodyDiv w:val="1"/>
      <w:marLeft w:val="0"/>
      <w:marRight w:val="0"/>
      <w:marTop w:val="0"/>
      <w:marBottom w:val="0"/>
      <w:divBdr>
        <w:top w:val="none" w:sz="0" w:space="0" w:color="auto"/>
        <w:left w:val="none" w:sz="0" w:space="0" w:color="auto"/>
        <w:bottom w:val="none" w:sz="0" w:space="0" w:color="auto"/>
        <w:right w:val="none" w:sz="0" w:space="0" w:color="auto"/>
      </w:divBdr>
    </w:div>
    <w:div w:id="1601794305">
      <w:bodyDiv w:val="1"/>
      <w:marLeft w:val="0"/>
      <w:marRight w:val="0"/>
      <w:marTop w:val="0"/>
      <w:marBottom w:val="0"/>
      <w:divBdr>
        <w:top w:val="none" w:sz="0" w:space="0" w:color="auto"/>
        <w:left w:val="none" w:sz="0" w:space="0" w:color="auto"/>
        <w:bottom w:val="none" w:sz="0" w:space="0" w:color="auto"/>
        <w:right w:val="none" w:sz="0" w:space="0" w:color="auto"/>
      </w:divBdr>
    </w:div>
    <w:div w:id="1728138782">
      <w:bodyDiv w:val="1"/>
      <w:marLeft w:val="0"/>
      <w:marRight w:val="0"/>
      <w:marTop w:val="0"/>
      <w:marBottom w:val="0"/>
      <w:divBdr>
        <w:top w:val="none" w:sz="0" w:space="0" w:color="auto"/>
        <w:left w:val="none" w:sz="0" w:space="0" w:color="auto"/>
        <w:bottom w:val="none" w:sz="0" w:space="0" w:color="auto"/>
        <w:right w:val="none" w:sz="0" w:space="0" w:color="auto"/>
      </w:divBdr>
    </w:div>
    <w:div w:id="1935476001">
      <w:bodyDiv w:val="1"/>
      <w:marLeft w:val="0"/>
      <w:marRight w:val="0"/>
      <w:marTop w:val="0"/>
      <w:marBottom w:val="0"/>
      <w:divBdr>
        <w:top w:val="none" w:sz="0" w:space="0" w:color="auto"/>
        <w:left w:val="none" w:sz="0" w:space="0" w:color="auto"/>
        <w:bottom w:val="none" w:sz="0" w:space="0" w:color="auto"/>
        <w:right w:val="none" w:sz="0" w:space="0" w:color="auto"/>
      </w:divBdr>
    </w:div>
    <w:div w:id="211944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47C5F5A17CE48D5BFFBFC7D0687C4D8"/>
        <w:category>
          <w:name w:val="כללי"/>
          <w:gallery w:val="placeholder"/>
        </w:category>
        <w:types>
          <w:type w:val="bbPlcHdr"/>
        </w:types>
        <w:behaviors>
          <w:behavior w:val="content"/>
        </w:behaviors>
        <w:guid w:val="{FD49B9D8-ABA6-45B6-AF0C-DE34E3603AA7}"/>
      </w:docPartPr>
      <w:docPartBody>
        <w:p w:rsidR="00200AFE" w:rsidRDefault="00D85A54" w:rsidP="00D85A54">
          <w:pPr>
            <w:pStyle w:val="647C5F5A17CE48D5BFFBFC7D0687C4D83"/>
          </w:pPr>
          <w:r>
            <w:rPr>
              <w:rStyle w:val="a3"/>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AC5"/>
    <w:rsid w:val="00200AFE"/>
    <w:rsid w:val="005D5A23"/>
    <w:rsid w:val="007D5AC5"/>
    <w:rsid w:val="00AE09D5"/>
    <w:rsid w:val="00D85A54"/>
    <w:rsid w:val="00F0768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5A54"/>
    <w:rPr>
      <w:color w:val="808080"/>
    </w:rPr>
  </w:style>
  <w:style w:type="paragraph" w:customStyle="1" w:styleId="647C5F5A17CE48D5BFFBFC7D0687C4D8">
    <w:name w:val="647C5F5A17CE48D5BFFBFC7D0687C4D8"/>
    <w:rsid w:val="005D5A23"/>
    <w:pPr>
      <w:bidi/>
      <w:spacing w:after="0" w:line="240" w:lineRule="auto"/>
    </w:pPr>
    <w:rPr>
      <w:rFonts w:ascii="Times New Roman" w:eastAsia="Times New Roman" w:hAnsi="Times New Roman" w:cs="David"/>
      <w:sz w:val="24"/>
      <w:szCs w:val="24"/>
    </w:rPr>
  </w:style>
  <w:style w:type="paragraph" w:customStyle="1" w:styleId="647C5F5A17CE48D5BFFBFC7D0687C4D81">
    <w:name w:val="647C5F5A17CE48D5BFFBFC7D0687C4D81"/>
    <w:rsid w:val="005D5A23"/>
    <w:pPr>
      <w:bidi/>
      <w:spacing w:after="0" w:line="240" w:lineRule="auto"/>
    </w:pPr>
    <w:rPr>
      <w:rFonts w:ascii="Times New Roman" w:eastAsia="Times New Roman" w:hAnsi="Times New Roman" w:cs="David"/>
      <w:sz w:val="24"/>
      <w:szCs w:val="24"/>
    </w:rPr>
  </w:style>
  <w:style w:type="paragraph" w:customStyle="1" w:styleId="647C5F5A17CE48D5BFFBFC7D0687C4D82">
    <w:name w:val="647C5F5A17CE48D5BFFBFC7D0687C4D82"/>
    <w:rsid w:val="00200AFE"/>
    <w:pPr>
      <w:bidi/>
      <w:spacing w:after="0" w:line="240" w:lineRule="auto"/>
    </w:pPr>
    <w:rPr>
      <w:rFonts w:ascii="Times New Roman" w:eastAsia="Times New Roman" w:hAnsi="Times New Roman" w:cs="David"/>
      <w:sz w:val="24"/>
      <w:szCs w:val="24"/>
    </w:rPr>
  </w:style>
  <w:style w:type="paragraph" w:customStyle="1" w:styleId="647C5F5A17CE48D5BFFBFC7D0687C4D83">
    <w:name w:val="647C5F5A17CE48D5BFFBFC7D0687C4D83"/>
    <w:rsid w:val="00D85A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800</Words>
  <Characters>4002</Characters>
  <Application>Microsoft Office Word</Application>
  <DocSecurity>0</DocSecurity>
  <Lines>33</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2023-08-06T05:39:00Z</dcterms:created>
  <dcterms:modified xsi:type="dcterms:W3CDTF">2023-08-06T05:39:00Z</dcterms:modified>
</cp:coreProperties>
</file>